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CD3528" w:rsidRPr="00CD3528">
        <w:rPr>
          <w:rFonts w:ascii="Arial" w:hAnsi="Arial" w:cs="Arial"/>
          <w:b/>
          <w:bCs/>
          <w:sz w:val="28"/>
        </w:rPr>
        <w:t>R1-1901788</w:t>
      </w:r>
    </w:p>
    <w:p w:rsidR="002F3F7F" w:rsidRDefault="00CD3528"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w:t>
      </w:r>
      <w:r>
        <w:rPr>
          <w:rFonts w:ascii="Arial" w:eastAsia="MS Mincho" w:hAnsi="Arial" w:cs="Arial"/>
          <w:b/>
          <w:bCs/>
          <w:sz w:val="28"/>
          <w:szCs w:val="24"/>
          <w:lang w:eastAsia="ja-JP"/>
        </w:rPr>
        <w:t xml:space="preserve"> Greece,</w:t>
      </w:r>
      <w:r w:rsidR="002F3F7F" w:rsidRPr="002F3F7F">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February – 1</w:t>
      </w:r>
      <w:r w:rsidRPr="00CD3528">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E1A82" w:rsidRPr="00FE1A82">
        <w:rPr>
          <w:sz w:val="28"/>
          <w:szCs w:val="28"/>
          <w:lang w:eastAsia="zh-TW"/>
        </w:rPr>
        <w:t>CSI enhancement for MU-MIMO</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7.2.8.1</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sdt>
      <w:sdtPr>
        <w:rPr>
          <w:rFonts w:ascii="Times New Roman" w:eastAsia="PMingLiU" w:hAnsi="Times New Roman" w:cs="Times New Roman"/>
          <w:color w:val="auto"/>
          <w:sz w:val="20"/>
          <w:szCs w:val="20"/>
          <w:lang w:val="en-GB"/>
        </w:rPr>
        <w:id w:val="-1963956008"/>
        <w:docPartObj>
          <w:docPartGallery w:val="Table of Contents"/>
          <w:docPartUnique/>
        </w:docPartObj>
      </w:sdtPr>
      <w:sdtEndPr>
        <w:rPr>
          <w:rFonts w:asciiTheme="majorHAnsi" w:eastAsiaTheme="majorEastAsia" w:hAnsiTheme="majorHAnsi" w:cstheme="majorBidi"/>
          <w:b/>
          <w:bCs/>
          <w:noProof/>
          <w:color w:val="2E74B5" w:themeColor="accent1" w:themeShade="BF"/>
          <w:sz w:val="32"/>
          <w:szCs w:val="32"/>
          <w:lang w:val="en-US"/>
        </w:rPr>
      </w:sdtEndPr>
      <w:sdtContent>
        <w:p w:rsidR="00194C2F" w:rsidDel="00194C2F" w:rsidRDefault="00194C2F" w:rsidP="00C84AEF">
          <w:pPr>
            <w:pStyle w:val="TOCHeading"/>
          </w:pPr>
        </w:p>
        <w:p w:rsidR="002651FC" w:rsidRDefault="00C84AEF" w:rsidP="00C84AEF">
          <w:pPr>
            <w:pStyle w:val="TOCHeading"/>
            <w:rPr>
              <w:lang w:eastAsia="zh-TW"/>
            </w:rPr>
          </w:pPr>
        </w:p>
      </w:sdtContent>
    </w:sdt>
    <w:p w:rsidR="002D1FB0" w:rsidRDefault="002D1FB0" w:rsidP="002D1FB0">
      <w:pPr>
        <w:pStyle w:val="Heading1"/>
      </w:pPr>
      <w:bookmarkStart w:id="3" w:name="_Toc1135643"/>
      <w:r>
        <w:rPr>
          <w:rFonts w:hint="eastAsia"/>
        </w:rPr>
        <w:t>Introduction</w:t>
      </w:r>
      <w:bookmarkEnd w:id="3"/>
    </w:p>
    <w:p w:rsidR="00CA397B" w:rsidRDefault="00CA397B" w:rsidP="00CA397B">
      <w:pPr>
        <w:rPr>
          <w:lang w:eastAsia="zh-TW"/>
        </w:rPr>
      </w:pPr>
      <w:r>
        <w:rPr>
          <w:lang w:eastAsia="zh-TW"/>
        </w:rPr>
        <w:t>At RAN1 #95</w:t>
      </w:r>
      <w:r w:rsidR="00194C2F">
        <w:rPr>
          <w:lang w:eastAsia="zh-TW"/>
        </w:rPr>
        <w:t xml:space="preserve"> and RAN1 AH 201901</w:t>
      </w:r>
      <w:r>
        <w:rPr>
          <w:lang w:eastAsia="zh-TW"/>
        </w:rPr>
        <w:t>, a number of agreements were reached:</w:t>
      </w:r>
    </w:p>
    <w:p w:rsidR="00CA397B" w:rsidRPr="00115C5A" w:rsidRDefault="00CA397B" w:rsidP="00CA397B">
      <w:pPr>
        <w:pStyle w:val="Style1"/>
        <w:spacing w:after="0" w:line="240" w:lineRule="auto"/>
        <w:ind w:firstLine="0"/>
        <w:rPr>
          <w:highlight w:val="green"/>
          <w:lang w:val="en-US"/>
        </w:rPr>
      </w:pPr>
      <w:r w:rsidRPr="00115C5A">
        <w:rPr>
          <w:b/>
          <w:highlight w:val="green"/>
          <w:lang w:val="en-US"/>
        </w:rPr>
        <w:t>Agreement</w:t>
      </w:r>
    </w:p>
    <w:p w:rsidR="00CA397B" w:rsidRPr="00D7031E" w:rsidRDefault="00CA397B" w:rsidP="00CA397B">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8" w:history="1">
        <w:r>
          <w:rPr>
            <w:rStyle w:val="Hyperlink"/>
            <w:lang w:val="en-US"/>
          </w:rPr>
          <w:t>R1-1813002</w:t>
        </w:r>
      </w:hyperlink>
      <w:r w:rsidRPr="00D7031E">
        <w:rPr>
          <w:lang w:val="en-US"/>
        </w:rPr>
        <w:t xml:space="preserve"> as the adopted Type II rank 1-2 overhead reduction (compression) scheme as formulated in Alt1.1 of </w:t>
      </w:r>
      <w:hyperlink r:id="rId9" w:history="1">
        <w:r>
          <w:rPr>
            <w:rStyle w:val="Hyperlink"/>
            <w:lang w:val="en-US"/>
          </w:rPr>
          <w:t>R1-1813002</w:t>
        </w:r>
      </w:hyperlink>
    </w:p>
    <w:p w:rsidR="00CA397B" w:rsidRPr="00D7031E" w:rsidRDefault="00CA397B" w:rsidP="00CA397B">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rsidR="00CA397B" w:rsidRPr="00D7031E" w:rsidRDefault="00CA397B" w:rsidP="00CA397B">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rsidR="00CA397B" w:rsidRPr="00D7031E" w:rsidRDefault="00CA397B" w:rsidP="00CA397B">
      <w:pPr>
        <w:pStyle w:val="Style1"/>
        <w:numPr>
          <w:ilvl w:val="1"/>
          <w:numId w:val="15"/>
        </w:numPr>
        <w:spacing w:after="0" w:line="240" w:lineRule="auto"/>
        <w:rPr>
          <w:lang w:val="en-US"/>
        </w:rPr>
      </w:pPr>
      <w:r w:rsidRPr="00D7031E">
        <w:rPr>
          <w:lang w:val="en-US"/>
        </w:rPr>
        <w:t xml:space="preserve">FFS: detailed signaling mechanism </w:t>
      </w:r>
    </w:p>
    <w:p w:rsidR="00CA397B" w:rsidRPr="00D7031E" w:rsidRDefault="00CA397B" w:rsidP="00CA397B">
      <w:pPr>
        <w:pStyle w:val="Style1"/>
        <w:numPr>
          <w:ilvl w:val="0"/>
          <w:numId w:val="15"/>
        </w:numPr>
        <w:spacing w:after="0" w:line="240" w:lineRule="auto"/>
        <w:rPr>
          <w:lang w:val="en-US"/>
        </w:rPr>
      </w:pPr>
      <w:r w:rsidRPr="00D7031E">
        <w:rPr>
          <w:lang w:val="en-US"/>
        </w:rPr>
        <w:t xml:space="preserve">Note: Additional compression scheme(s) are not precluded </w:t>
      </w:r>
    </w:p>
    <w:p w:rsidR="00CA397B" w:rsidRDefault="00CA397B" w:rsidP="00CA397B">
      <w:pPr>
        <w:rPr>
          <w:lang w:eastAsia="x-none"/>
        </w:rPr>
      </w:pPr>
    </w:p>
    <w:p w:rsidR="00CA397B" w:rsidRPr="00FD563F" w:rsidRDefault="00CA397B" w:rsidP="00CA397B">
      <w:pPr>
        <w:pStyle w:val="Style1"/>
        <w:spacing w:after="0" w:line="240" w:lineRule="auto"/>
        <w:ind w:firstLine="0"/>
        <w:rPr>
          <w:highlight w:val="green"/>
          <w:lang w:val="en-US"/>
        </w:rPr>
      </w:pPr>
      <w:r w:rsidRPr="00FD563F">
        <w:rPr>
          <w:b/>
          <w:highlight w:val="green"/>
          <w:lang w:val="en-US"/>
        </w:rPr>
        <w:t xml:space="preserve">Agreement </w:t>
      </w:r>
    </w:p>
    <w:p w:rsidR="00CA397B" w:rsidRPr="00D7031E" w:rsidRDefault="00CA397B" w:rsidP="00CA397B">
      <w:pPr>
        <w:pStyle w:val="Style1"/>
        <w:spacing w:after="0" w:line="240" w:lineRule="auto"/>
        <w:ind w:firstLine="0"/>
        <w:rPr>
          <w:lang w:val="en-US"/>
        </w:rPr>
      </w:pPr>
      <w:r w:rsidRPr="00D7031E">
        <w:rPr>
          <w:lang w:val="en-US"/>
        </w:rPr>
        <w:t>In RAN1 NR-AH 1901, decide (agree on) at least the following aspects of DFT-based compression:</w:t>
      </w:r>
    </w:p>
    <w:p w:rsidR="00CA397B" w:rsidRPr="00D7031E" w:rsidRDefault="00CA397B" w:rsidP="00CA397B">
      <w:pPr>
        <w:pStyle w:val="Style1"/>
        <w:numPr>
          <w:ilvl w:val="0"/>
          <w:numId w:val="16"/>
        </w:numPr>
        <w:spacing w:after="0" w:line="240" w:lineRule="auto"/>
        <w:rPr>
          <w:lang w:val="en-US"/>
        </w:rPr>
      </w:pPr>
      <w:r w:rsidRPr="00D7031E">
        <w:rPr>
          <w:lang w:val="en-US"/>
        </w:rPr>
        <w:t xml:space="preserve">Frequency-domain compression unit: same </w:t>
      </w:r>
      <w:proofErr w:type="spellStart"/>
      <w:r w:rsidRPr="00D7031E">
        <w:rPr>
          <w:lang w:val="en-US"/>
        </w:rPr>
        <w:t>subband</w:t>
      </w:r>
      <w:proofErr w:type="spellEnd"/>
      <w:r w:rsidRPr="00D7031E">
        <w:rPr>
          <w:lang w:val="en-US"/>
        </w:rPr>
        <w:t xml:space="preserve"> size as CQI vs. RB (or multiple of RBs) different from CQI</w:t>
      </w:r>
    </w:p>
    <w:p w:rsidR="00CA397B" w:rsidRPr="00D7031E" w:rsidRDefault="00CA397B" w:rsidP="00CA397B">
      <w:pPr>
        <w:pStyle w:val="Style1"/>
        <w:numPr>
          <w:ilvl w:val="0"/>
          <w:numId w:val="16"/>
        </w:numPr>
        <w:spacing w:after="0" w:line="240" w:lineRule="auto"/>
        <w:rPr>
          <w:lang w:val="en-US"/>
        </w:rPr>
      </w:pPr>
      <w:r w:rsidRPr="00D7031E">
        <w:rPr>
          <w:lang w:val="en-US"/>
        </w:rPr>
        <w:t xml:space="preserve">Basis subset selection for the 2L beams: common (including the possibility of reporting a subset of 2LM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9pt" o:ole="">
            <v:imagedata r:id="rId10" o:title=""/>
          </v:shape>
          <o:OLEObject Type="Embed" ProgID="Equation.DSMT4" ShapeID="_x0000_i1025" DrawAspect="Content" ObjectID="_1611764106" r:id="rId11"/>
        </w:object>
      </w:r>
      <w:r w:rsidRPr="00D7031E">
        <w:rPr>
          <w:iCs/>
        </w:rPr>
        <w:fldChar w:fldCharType="begin"/>
      </w:r>
      <w:r w:rsidRPr="00D7031E">
        <w:rPr>
          <w:iC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D7031E">
        <w:rPr>
          <w:iCs/>
        </w:rPr>
        <w:instrText xml:space="preserve"> </w:instrText>
      </w:r>
      <w:r w:rsidRPr="00D7031E">
        <w:rPr>
          <w:iCs/>
        </w:rPr>
        <w:fldChar w:fldCharType="end"/>
      </w:r>
      <w:r w:rsidRPr="00D7031E">
        <w:rPr>
          <w:iCs/>
        </w:rPr>
        <w:t xml:space="preserve"> </w:t>
      </w:r>
      <w:r w:rsidRPr="00D7031E">
        <w:rPr>
          <w:lang w:val="en-US"/>
        </w:rPr>
        <w:t>coefficients) vs. independent</w:t>
      </w:r>
    </w:p>
    <w:p w:rsidR="00CA397B" w:rsidRDefault="00CA397B" w:rsidP="00CA397B">
      <w:pPr>
        <w:rPr>
          <w:lang w:val="en-US" w:eastAsia="x-none"/>
        </w:rPr>
      </w:pPr>
    </w:p>
    <w:p w:rsidR="00CA397B" w:rsidRPr="002F1BD2" w:rsidRDefault="00CA397B" w:rsidP="00CA397B">
      <w:pPr>
        <w:pStyle w:val="Style1"/>
        <w:spacing w:after="0" w:line="240" w:lineRule="auto"/>
        <w:ind w:firstLine="0"/>
        <w:rPr>
          <w:highlight w:val="green"/>
          <w:lang w:val="en-US"/>
        </w:rPr>
      </w:pPr>
      <w:r w:rsidRPr="002F1BD2">
        <w:rPr>
          <w:b/>
          <w:highlight w:val="green"/>
          <w:lang w:val="en-US"/>
        </w:rPr>
        <w:t>Agreement</w:t>
      </w:r>
    </w:p>
    <w:p w:rsidR="00CA397B" w:rsidRPr="002F1BD2" w:rsidRDefault="00CA397B" w:rsidP="00CA397B">
      <w:pPr>
        <w:pStyle w:val="Style1"/>
        <w:spacing w:after="0" w:line="240" w:lineRule="auto"/>
        <w:ind w:firstLine="0"/>
        <w:rPr>
          <w:lang w:val="en-US"/>
        </w:rPr>
      </w:pPr>
      <w:r w:rsidRPr="002F1BD2">
        <w:rPr>
          <w:lang w:val="en-US"/>
        </w:rPr>
        <w:t>For RAN1 NR-AH 1901:</w:t>
      </w:r>
    </w:p>
    <w:p w:rsidR="00CA397B" w:rsidRPr="002F1BD2" w:rsidRDefault="00CA397B" w:rsidP="00CA397B">
      <w:pPr>
        <w:pStyle w:val="Style1"/>
        <w:numPr>
          <w:ilvl w:val="0"/>
          <w:numId w:val="16"/>
        </w:numPr>
        <w:spacing w:after="0" w:line="240" w:lineRule="auto"/>
        <w:rPr>
          <w:lang w:val="en-US"/>
        </w:rPr>
      </w:pPr>
      <w:r w:rsidRPr="002F1BD2">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CA397B" w:rsidRPr="002F1BD2" w:rsidRDefault="00CA397B" w:rsidP="00CA397B">
      <w:pPr>
        <w:pStyle w:val="Style1"/>
        <w:numPr>
          <w:ilvl w:val="0"/>
          <w:numId w:val="16"/>
        </w:numPr>
        <w:spacing w:after="0" w:line="240" w:lineRule="auto"/>
        <w:rPr>
          <w:szCs w:val="28"/>
          <w:lang w:val="en-US"/>
        </w:rPr>
      </w:pPr>
      <w:r w:rsidRPr="002F1BD2">
        <w:rPr>
          <w:szCs w:val="28"/>
          <w:lang w:val="en-US"/>
        </w:rPr>
        <w:t xml:space="preserve">Companies are encouraged to evaluate the options A, B, C, D, and E (“other schemes”) summarized in Table 3 of </w:t>
      </w:r>
      <w:hyperlink r:id="rId12" w:history="1">
        <w:r>
          <w:rPr>
            <w:rStyle w:val="Hyperlink"/>
            <w:szCs w:val="28"/>
            <w:lang w:val="en-US"/>
          </w:rPr>
          <w:t>R1-1813002</w:t>
        </w:r>
      </w:hyperlink>
      <w:r w:rsidRPr="002F1BD2">
        <w:rPr>
          <w:szCs w:val="28"/>
          <w:lang w:val="en-US"/>
        </w:rPr>
        <w:t xml:space="preserve"> for potential support for Type II rank 1-2 overhead reduction </w:t>
      </w:r>
    </w:p>
    <w:p w:rsidR="00CA397B" w:rsidRDefault="00CA397B" w:rsidP="00CA397B">
      <w:pPr>
        <w:rPr>
          <w:lang w:eastAsia="x-none"/>
        </w:rPr>
      </w:pPr>
    </w:p>
    <w:p w:rsidR="00CA397B" w:rsidRPr="005C7EF7" w:rsidRDefault="00CA397B" w:rsidP="00CA397B">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Alt2.1 X = 1</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Alt2.2 X = CQI SB size / R where R&gt;1 is a predetermined integer </w:t>
      </w:r>
    </w:p>
    <w:p w:rsidR="00CA397B" w:rsidRPr="00DB505C" w:rsidRDefault="00CA397B" w:rsidP="00CA397B">
      <w:pPr>
        <w:pStyle w:val="Style1"/>
        <w:numPr>
          <w:ilvl w:val="2"/>
          <w:numId w:val="17"/>
        </w:numPr>
        <w:spacing w:after="0" w:line="240" w:lineRule="auto"/>
        <w:rPr>
          <w:rFonts w:cs="Times New Roman"/>
          <w:lang w:val="en-US"/>
        </w:rPr>
      </w:pPr>
      <w:r w:rsidRPr="00DB505C">
        <w:rPr>
          <w:rFonts w:cs="Times New Roman"/>
          <w:lang w:val="en-US"/>
        </w:rPr>
        <w:t>Only one R value is supported. FFS: the value of R</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Alt2.3 X = {2, 4} where X is higher-layer configured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v:shape id="_x0000_i1026" type="#_x0000_t75" style="width:16.3pt;height:19pt" o:ole="">
            <v:imagedata r:id="rId10" o:title=""/>
          </v:shape>
          <o:OLEObject Type="Embed" ProgID="Equation.DSMT4" ShapeID="_x0000_i1026" DrawAspect="Content" ObjectID="_1611764107" r:id="rId13"/>
        </w:object>
      </w:r>
      <w:r>
        <w:rPr>
          <w:rFonts w:cs="Times New Roman"/>
          <w:iCs/>
        </w:rPr>
        <w:t xml:space="preserve"> </w:t>
      </w:r>
      <w:r w:rsidRPr="00DB505C">
        <w:rPr>
          <w:rFonts w:cs="Times New Roman"/>
          <w:iCs/>
        </w:rPr>
        <w:t>quantization for evaluation purposes.</w:t>
      </w:r>
    </w:p>
    <w:p w:rsidR="00CA397B" w:rsidRDefault="00CA397B" w:rsidP="00CA397B">
      <w:pPr>
        <w:rPr>
          <w:lang w:eastAsia="x-none"/>
        </w:rPr>
      </w:pPr>
    </w:p>
    <w:p w:rsidR="00CA397B" w:rsidRDefault="00CA397B" w:rsidP="00CA397B">
      <w:pPr>
        <w:jc w:val="both"/>
        <w:rPr>
          <w:b/>
          <w:highlight w:val="green"/>
        </w:rPr>
      </w:pPr>
      <w:r w:rsidRPr="005C7EF7">
        <w:rPr>
          <w:b/>
          <w:highlight w:val="green"/>
        </w:rPr>
        <w:lastRenderedPageBreak/>
        <w:t>Agreement</w:t>
      </w:r>
    </w:p>
    <w:p w:rsidR="00CA397B" w:rsidRPr="002D18E5" w:rsidRDefault="00CA397B" w:rsidP="00CA397B">
      <w:pPr>
        <w:jc w:val="both"/>
      </w:pPr>
      <w:r w:rsidRPr="002D18E5">
        <w:t xml:space="preserve">The first offline agreement in </w:t>
      </w:r>
      <w:r>
        <w:t xml:space="preserve">section 2.2 of </w:t>
      </w:r>
      <w:hyperlink r:id="rId14" w:history="1">
        <w:r>
          <w:rPr>
            <w:rStyle w:val="Hyperlink"/>
          </w:rPr>
          <w:t>R1-1814201</w:t>
        </w:r>
      </w:hyperlink>
      <w:r w:rsidRPr="002D18E5">
        <w:t xml:space="preserve"> </w:t>
      </w:r>
      <w:r>
        <w:t>on ‘</w:t>
      </w:r>
      <w:r w:rsidRPr="00B21DBD">
        <w:t>Basis subset or linear combination (LC) coefficient selection for the 2L beams</w:t>
      </w:r>
      <w:r>
        <w:t xml:space="preserve">’ </w:t>
      </w:r>
      <w:r w:rsidRPr="002D18E5">
        <w:t>is agreed.</w:t>
      </w:r>
    </w:p>
    <w:p w:rsidR="00CA397B" w:rsidRDefault="00CA397B" w:rsidP="00CA397B">
      <w:pPr>
        <w:rPr>
          <w:lang w:eastAsia="x-none"/>
        </w:rPr>
      </w:pPr>
    </w:p>
    <w:p w:rsidR="00CA397B" w:rsidRPr="005C7EF7" w:rsidRDefault="00CA397B" w:rsidP="00CA397B">
      <w:pPr>
        <w:jc w:val="both"/>
        <w:rPr>
          <w:highlight w:val="green"/>
        </w:rPr>
      </w:pPr>
      <w:r w:rsidRPr="005C7EF7">
        <w:rPr>
          <w:b/>
          <w:highlight w:val="green"/>
        </w:rPr>
        <w:t>Agreement</w:t>
      </w:r>
      <w:r w:rsidRPr="005C7EF7">
        <w:rPr>
          <w:highlight w:val="green"/>
        </w:rPr>
        <w:t xml:space="preserve">: </w:t>
      </w:r>
    </w:p>
    <w:p w:rsidR="00CA397B" w:rsidRPr="005C7EF7" w:rsidRDefault="00CA397B" w:rsidP="00CA397B">
      <w:pPr>
        <w:jc w:val="both"/>
      </w:pPr>
      <w:r w:rsidRPr="005C7EF7">
        <w:t>In RAN1 NR-AH 1901, select one of the following alternatives for DFT basis oversampling factor(s) O</w:t>
      </w:r>
      <w:r w:rsidRPr="005C7EF7">
        <w:rPr>
          <w:vertAlign w:val="subscript"/>
        </w:rPr>
        <w:t>3</w:t>
      </w:r>
      <w:r w:rsidRPr="005C7EF7">
        <w:t>:</w:t>
      </w:r>
    </w:p>
    <w:p w:rsidR="00CA397B" w:rsidRPr="005C7EF7" w:rsidRDefault="00CA397B" w:rsidP="00CA397B">
      <w:pPr>
        <w:pStyle w:val="ListParagraph"/>
        <w:numPr>
          <w:ilvl w:val="0"/>
          <w:numId w:val="18"/>
        </w:numPr>
        <w:spacing w:after="0"/>
        <w:contextualSpacing/>
        <w:jc w:val="both"/>
      </w:pPr>
      <w:r w:rsidRPr="005C7EF7">
        <w:t>Alt1. O</w:t>
      </w:r>
      <w:r w:rsidRPr="005C7EF7">
        <w:rPr>
          <w:vertAlign w:val="subscript"/>
        </w:rPr>
        <w:t xml:space="preserve">3 </w:t>
      </w:r>
      <w:r w:rsidRPr="005C7EF7">
        <w:t>= 4</w:t>
      </w:r>
    </w:p>
    <w:p w:rsidR="00CA397B" w:rsidRPr="005C7EF7" w:rsidRDefault="00CA397B" w:rsidP="00CA397B">
      <w:pPr>
        <w:pStyle w:val="ListParagraph"/>
        <w:numPr>
          <w:ilvl w:val="0"/>
          <w:numId w:val="18"/>
        </w:numPr>
        <w:spacing w:after="0"/>
        <w:contextualSpacing/>
        <w:jc w:val="both"/>
      </w:pPr>
      <w:r w:rsidRPr="005C7EF7">
        <w:t>Alt2. O</w:t>
      </w:r>
      <w:r w:rsidRPr="005C7EF7">
        <w:rPr>
          <w:vertAlign w:val="subscript"/>
        </w:rPr>
        <w:t xml:space="preserve">3 </w:t>
      </w:r>
      <w:r w:rsidRPr="005C7EF7">
        <w:t>= 1 (critically sampled)</w:t>
      </w:r>
    </w:p>
    <w:p w:rsidR="00CA397B" w:rsidRPr="005C7EF7" w:rsidRDefault="00CA397B" w:rsidP="00CA397B">
      <w:pPr>
        <w:pStyle w:val="ListParagraph"/>
        <w:numPr>
          <w:ilvl w:val="0"/>
          <w:numId w:val="18"/>
        </w:numPr>
        <w:spacing w:after="0"/>
        <w:contextualSpacing/>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rsidR="00CA397B" w:rsidRPr="005C7EF7" w:rsidRDefault="00CA397B" w:rsidP="00CA397B">
      <w:pPr>
        <w:pStyle w:val="Style1"/>
        <w:spacing w:after="0" w:line="240" w:lineRule="auto"/>
        <w:ind w:firstLine="0"/>
        <w:rPr>
          <w:rFonts w:cs="Times New Roman"/>
          <w:lang w:val="en-U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v:shape id="_x0000_i1027" type="#_x0000_t75" style="width:16.3pt;height:19pt" o:ole="">
            <v:imagedata r:id="rId10" o:title=""/>
          </v:shape>
          <o:OLEObject Type="Embed" ProgID="Equation.DSMT4" ShapeID="_x0000_i1027" DrawAspect="Content" ObjectID="_1611764108" r:id="rId15"/>
        </w:object>
      </w:r>
      <w:r w:rsidRPr="005C7EF7">
        <w:rPr>
          <w:rFonts w:cs="Times New Roman"/>
          <w:iCs/>
        </w:rPr>
        <w:fldChar w:fldCharType="end"/>
      </w:r>
      <w:r w:rsidRPr="005C7EF7">
        <w:rPr>
          <w:rFonts w:cs="Times New Roman"/>
          <w:iCs/>
        </w:rPr>
        <w:t xml:space="preserve"> quantization for evaluation purposes.</w:t>
      </w:r>
    </w:p>
    <w:p w:rsidR="00CA397B" w:rsidRDefault="00CA397B" w:rsidP="00CA397B">
      <w:pPr>
        <w:rPr>
          <w:lang w:val="en-US" w:eastAsia="x-none"/>
        </w:rPr>
      </w:pPr>
    </w:p>
    <w:p w:rsidR="00CA397B" w:rsidRPr="005C7EF7" w:rsidRDefault="00CA397B" w:rsidP="00CA397B">
      <w:pPr>
        <w:jc w:val="both"/>
        <w:rPr>
          <w:szCs w:val="28"/>
          <w:highlight w:val="green"/>
        </w:rPr>
      </w:pPr>
      <w:r w:rsidRPr="005C7EF7">
        <w:rPr>
          <w:b/>
          <w:szCs w:val="28"/>
          <w:highlight w:val="green"/>
        </w:rPr>
        <w:t>Agreement</w:t>
      </w:r>
      <w:r w:rsidRPr="005C7EF7">
        <w:rPr>
          <w:szCs w:val="28"/>
          <w:highlight w:val="green"/>
        </w:rPr>
        <w:t xml:space="preserve">: </w:t>
      </w:r>
    </w:p>
    <w:p w:rsidR="00CA397B" w:rsidRPr="003B7873" w:rsidRDefault="00CA397B" w:rsidP="00CA397B">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8" type="#_x0000_t75" style="width:17.65pt;height:19pt" o:ole="">
            <v:imagedata r:id="rId16" o:title=""/>
          </v:shape>
          <o:OLEObject Type="Embed" ProgID="Equation.DSMT4" ShapeID="_x0000_i1028" DrawAspect="Content" ObjectID="_1611764109" r:id="rId17"/>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A397B" w:rsidRPr="003B7873" w:rsidRDefault="00CA397B" w:rsidP="00CA397B">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9" type="#_x0000_t75" style="width:17.65pt;height:19pt" o:ole="">
            <v:imagedata r:id="rId16" o:title=""/>
          </v:shape>
          <o:OLEObject Type="Embed" ProgID="Equation.DSMT4" ShapeID="_x0000_i1029" DrawAspect="Content" ObjectID="_1611764110" r:id="rId18"/>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A397B" w:rsidRPr="003B7873" w:rsidRDefault="00CA397B" w:rsidP="00CA397B">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0" type="#_x0000_t75" style="width:17.65pt;height:19pt" o:ole="">
            <v:imagedata r:id="rId16" o:title=""/>
          </v:shape>
          <o:OLEObject Type="Embed" ProgID="Equation.DSMT4" ShapeID="_x0000_i1030" DrawAspect="Content" ObjectID="_1611764111" r:id="rId19"/>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A397B" w:rsidRPr="003B7873" w:rsidRDefault="00CA397B" w:rsidP="00CA397B">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31" type="#_x0000_t75" style="width:16.3pt;height:19pt" o:ole="">
            <v:imagedata r:id="rId10" o:title=""/>
          </v:shape>
          <o:OLEObject Type="Embed" ProgID="Equation.DSMT4" ShapeID="_x0000_i1031" DrawAspect="Content" ObjectID="_1611764112" r:id="rId20"/>
        </w:object>
      </w:r>
      <w:r w:rsidRPr="003B7873">
        <w:rPr>
          <w:rFonts w:cs="Times New Roman"/>
          <w:iCs/>
          <w:szCs w:val="28"/>
        </w:rPr>
        <w:fldChar w:fldCharType="end"/>
      </w:r>
      <w:r w:rsidRPr="003B7873">
        <w:rPr>
          <w:rFonts w:cs="Times New Roman"/>
          <w:iCs/>
          <w:szCs w:val="28"/>
        </w:rPr>
        <w:t xml:space="preserve"> quantization for evaluation purposes.</w:t>
      </w:r>
    </w:p>
    <w:p w:rsidR="00CA397B" w:rsidRPr="003B7873" w:rsidRDefault="00CA397B" w:rsidP="00CA397B">
      <w:pPr>
        <w:rPr>
          <w:lang w:val="en-US" w:eastAsia="x-none"/>
        </w:rPr>
      </w:pPr>
    </w:p>
    <w:p w:rsidR="00CA397B" w:rsidRPr="003B7873" w:rsidRDefault="00CA397B" w:rsidP="00CA397B">
      <w:pPr>
        <w:jc w:val="both"/>
      </w:pPr>
      <w:r w:rsidRPr="003B7873">
        <w:rPr>
          <w:b/>
          <w:u w:val="single"/>
        </w:rPr>
        <w:t>For next meeting</w:t>
      </w:r>
    </w:p>
    <w:p w:rsidR="00CA397B" w:rsidRPr="003B7873" w:rsidRDefault="00CA397B" w:rsidP="00CA397B">
      <w:pPr>
        <w:jc w:val="both"/>
      </w:pPr>
      <w:r w:rsidRPr="003B7873">
        <w:t>In RAN1 NR-AH 1901, companies are encouraged to study the following issues for finalizing the remaining details on DFT-based compression in RAN1#96:</w:t>
      </w:r>
    </w:p>
    <w:p w:rsidR="00CA397B" w:rsidRPr="003B7873" w:rsidRDefault="00CA397B" w:rsidP="00CA397B">
      <w:pPr>
        <w:pStyle w:val="ListParagraph"/>
        <w:numPr>
          <w:ilvl w:val="0"/>
          <w:numId w:val="20"/>
        </w:numPr>
        <w:spacing w:after="0"/>
        <w:contextualSpacing/>
        <w:jc w:val="both"/>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rsidR="00CA397B" w:rsidRPr="003B7873" w:rsidRDefault="00CA397B" w:rsidP="00CA397B">
      <w:pPr>
        <w:pStyle w:val="ListParagraph"/>
        <w:numPr>
          <w:ilvl w:val="1"/>
          <w:numId w:val="20"/>
        </w:numPr>
        <w:spacing w:after="0"/>
        <w:contextualSpacing/>
        <w:jc w:val="both"/>
      </w:pPr>
      <w:r w:rsidRPr="003B7873">
        <w:t>Whether one compression is performed across the entire CSI reporting band or a segment of the CSI reporting band</w:t>
      </w:r>
    </w:p>
    <w:p w:rsidR="00CA397B" w:rsidRPr="003B7873" w:rsidRDefault="00CA397B" w:rsidP="00CA397B">
      <w:pPr>
        <w:pStyle w:val="ListParagraph"/>
        <w:numPr>
          <w:ilvl w:val="0"/>
          <w:numId w:val="20"/>
        </w:numPr>
        <w:spacing w:after="0"/>
        <w:contextualSpacing/>
        <w:jc w:val="both"/>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proofErr w:type="spellStart"/>
      <w:r w:rsidRPr="00C62C7A">
        <w:rPr>
          <w:rFonts w:eastAsia="Malgun Gothic"/>
          <w:i/>
          <w:iCs/>
        </w:rPr>
        <w:t>M</w:t>
      </w:r>
      <w:r w:rsidRPr="00C62C7A">
        <w:rPr>
          <w:rFonts w:eastAsia="Malgun Gothic"/>
          <w:i/>
          <w:iCs/>
          <w:vertAlign w:val="subscript"/>
        </w:rPr>
        <w:t>i</w:t>
      </w:r>
      <w:proofErr w:type="spellEnd"/>
      <w:r>
        <w:rPr>
          <w:rFonts w:eastAsia="Malgun Gothic"/>
          <w:iCs/>
        </w:rPr>
        <w:t xml:space="preserve">} </w:t>
      </w:r>
      <w:r w:rsidRPr="003B7873">
        <w:rPr>
          <w:rFonts w:eastAsia="Malgun Gothic"/>
          <w:iCs/>
        </w:rPr>
        <w:t>for independent selection</w:t>
      </w:r>
      <w:r w:rsidRPr="003B7873">
        <w:t>)</w:t>
      </w:r>
    </w:p>
    <w:p w:rsidR="00CA397B" w:rsidRDefault="00CA397B" w:rsidP="00CA397B">
      <w:pPr>
        <w:rPr>
          <w:lang w:eastAsia="x-none"/>
        </w:rPr>
      </w:pPr>
    </w:p>
    <w:p w:rsidR="00CA397B" w:rsidRPr="00E06FB3" w:rsidRDefault="00CA397B" w:rsidP="00CA397B">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A397B" w:rsidRPr="00F449D8" w:rsidRDefault="00CA397B" w:rsidP="00CA397B">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32" type="#_x0000_t75" style="width:16.3pt;height:19pt" o:ole="">
            <v:imagedata r:id="rId10" o:title=""/>
          </v:shape>
          <o:OLEObject Type="Embed" ProgID="Equation.DSMT4" ShapeID="_x0000_i1032" DrawAspect="Content" ObjectID="_1611764113" r:id="rId21"/>
        </w:object>
      </w:r>
      <w:r w:rsidRPr="00F449D8">
        <w:rPr>
          <w:rFonts w:cs="Times New Roman"/>
          <w:iCs/>
        </w:rPr>
        <w:t xml:space="preserve"> </w:t>
      </w:r>
      <w:r w:rsidRPr="00F449D8">
        <w:rPr>
          <w:rFonts w:cs="Times New Roman"/>
          <w:lang w:val="en-US"/>
        </w:rPr>
        <w:t xml:space="preserve">are to be studied for down selection in RAN1#96: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lastRenderedPageBreak/>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2D2C23" w:rsidRPr="002D2C23" w:rsidRDefault="002D2C23" w:rsidP="00C84AEF">
      <w:pPr>
        <w:rPr>
          <w:lang w:val="en-US" w:eastAsia="zh-TW"/>
        </w:rPr>
      </w:pPr>
    </w:p>
    <w:p w:rsidR="002D2C23" w:rsidRDefault="002D2C23" w:rsidP="00CA397B">
      <w:pPr>
        <w:rPr>
          <w:lang w:val="en-US" w:eastAsia="zh-TW"/>
        </w:rPr>
      </w:pPr>
    </w:p>
    <w:p w:rsidR="00CA397B" w:rsidRDefault="00CA397B" w:rsidP="00CA397B">
      <w:pPr>
        <w:rPr>
          <w:lang w:val="en-US" w:eastAsia="zh-TW"/>
        </w:rPr>
      </w:pPr>
      <w:r>
        <w:rPr>
          <w:lang w:val="en-US" w:eastAsia="zh-TW"/>
        </w:rPr>
        <w:t xml:space="preserve">In this contribution, we provide our views on </w:t>
      </w:r>
      <w:r w:rsidR="00194C2F">
        <w:rPr>
          <w:lang w:val="en-US" w:eastAsia="zh-TW"/>
        </w:rPr>
        <w:t>MU CSI enhancement</w:t>
      </w:r>
      <w:r>
        <w:rPr>
          <w:lang w:val="en-US" w:eastAsia="zh-TW"/>
        </w:rPr>
        <w:t>.</w:t>
      </w:r>
    </w:p>
    <w:p w:rsidR="00CA397B" w:rsidRDefault="00CA397B" w:rsidP="00CA397B">
      <w:pPr>
        <w:pStyle w:val="Heading1"/>
      </w:pPr>
      <w:bookmarkStart w:id="4" w:name="_Toc1135644"/>
      <w:r>
        <w:t>Overview on proposed CSI feedback schemes</w:t>
      </w:r>
      <w:bookmarkEnd w:id="4"/>
    </w:p>
    <w:p w:rsidR="00CA397B" w:rsidRDefault="00CA397B" w:rsidP="00CA397B">
      <w:pPr>
        <w:rPr>
          <w:lang w:val="en-US" w:eastAsia="zh-TW"/>
        </w:rPr>
      </w:pPr>
    </w:p>
    <w:p w:rsidR="00CA397B" w:rsidRPr="00E13523" w:rsidRDefault="00CA397B" w:rsidP="00CA397B">
      <w:pPr>
        <w:tabs>
          <w:tab w:val="center" w:pos="4800"/>
          <w:tab w:val="right" w:pos="9500"/>
        </w:tabs>
        <w:ind w:firstLine="720"/>
        <w:jc w:val="both"/>
        <w:rPr>
          <w:noProof/>
        </w:rPr>
      </w:pPr>
      <w:r>
        <w:rPr>
          <w:noProof/>
        </w:rPr>
        <w:t>We first establish notations to be used below.</w:t>
      </w:r>
    </w:p>
    <w:p w:rsidR="00CA397B" w:rsidRPr="00E13523" w:rsidRDefault="00CA397B" w:rsidP="00CA397B">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CA397B" w:rsidRPr="00E13523" w:rsidRDefault="00CA397B" w:rsidP="00CA397B">
      <w:pPr>
        <w:tabs>
          <w:tab w:val="center" w:pos="4800"/>
          <w:tab w:val="right" w:pos="9500"/>
        </w:tabs>
        <w:jc w:val="both"/>
        <w:rPr>
          <w:noProof/>
        </w:rPr>
      </w:pPr>
      <w:r w:rsidRPr="00E13523">
        <w:rPr>
          <w:noProof/>
        </w:rPr>
        <w:t>Where</w:t>
      </w:r>
    </w:p>
    <w:p w:rsidR="00CA397B" w:rsidRPr="00E13523" w:rsidRDefault="00CA397B" w:rsidP="00CA397B">
      <w:pPr>
        <w:tabs>
          <w:tab w:val="center" w:pos="4800"/>
          <w:tab w:val="right" w:pos="9500"/>
        </w:tabs>
        <w:jc w:val="both"/>
        <w:rPr>
          <w:noProof/>
        </w:rPr>
      </w:pPr>
      <m:oMath>
        <m:r>
          <w:rPr>
            <w:rFonts w:ascii="Cambria Math" w:hAnsi="Cambria Math"/>
            <w:noProof/>
          </w:rPr>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w:p>
    <w:p w:rsidR="00CA397B" w:rsidRPr="00E13523" w:rsidRDefault="00CA397B" w:rsidP="00CA397B">
      <w:pPr>
        <w:tabs>
          <w:tab w:val="center" w:pos="4800"/>
          <w:tab w:val="right" w:pos="9500"/>
        </w:tabs>
        <w:rPr>
          <w:noProof/>
        </w:rPr>
      </w:pPr>
    </w:p>
    <w:p w:rsidR="00CA397B" w:rsidRPr="00E13523" w:rsidRDefault="00CA397B" w:rsidP="00CA397B">
      <w:pPr>
        <w:tabs>
          <w:tab w:val="center" w:pos="4800"/>
          <w:tab w:val="right" w:pos="9500"/>
        </w:tabs>
        <w:rPr>
          <w:noProof/>
        </w:rPr>
      </w:pPr>
      <m:oMath>
        <m:r>
          <w:rPr>
            <w:rFonts w:ascii="Cambria Math" w:hAnsi="Cambria Math"/>
            <w:noProof/>
          </w:rPr>
          <m:t>f</m:t>
        </m:r>
      </m:oMath>
      <w:r w:rsidRPr="00E13523">
        <w:rPr>
          <w:noProof/>
        </w:rPr>
        <w:t xml:space="preserve"> is a frequency index (e.g. the subband index or PRB index)</w:t>
      </w:r>
      <w:proofErr w:type="gramStart"/>
      <w:r w:rsidRPr="00E13523">
        <w:rPr>
          <w:noProof/>
        </w:rPr>
        <w:t xml:space="preserve">,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w:t>
      </w:r>
      <w:proofErr w:type="gramEnd"/>
      <w:r w:rsidRPr="00E13523">
        <w:rPr>
          <w:noProof/>
        </w:rPr>
        <w:t xml:space="preserv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is the total number of frequency units (sub-bands, PRBs etc) over which the CSI feedback is applicable, e.g. 16 or 18.</w:t>
      </w:r>
    </w:p>
    <w:p w:rsidR="00CA397B" w:rsidRPr="00E13523" w:rsidRDefault="00CA397B" w:rsidP="00CA397B">
      <w:pPr>
        <w:tabs>
          <w:tab w:val="center" w:pos="4800"/>
          <w:tab w:val="right" w:pos="9500"/>
        </w:tabs>
        <w:rPr>
          <w:noProof/>
        </w:rPr>
      </w:pPr>
    </w:p>
    <w:p w:rsidR="00CA397B" w:rsidRDefault="00CA397B" w:rsidP="00CA397B">
      <w:pPr>
        <w:tabs>
          <w:tab w:val="center" w:pos="4800"/>
          <w:tab w:val="right" w:pos="9500"/>
        </w:tabs>
        <w:jc w:val="both"/>
        <w:rPr>
          <w:b/>
          <w:bCs/>
          <w:noProof/>
        </w:rPr>
      </w:pPr>
      <w:r w:rsidRPr="00E13523">
        <w:rPr>
          <w:b/>
          <w:bCs/>
          <w:noProof/>
        </w:rPr>
        <w:t xml:space="preserve"> Fequency unit </w:t>
      </w:r>
      <w:r w:rsidR="00194C2F">
        <w:rPr>
          <w:b/>
          <w:bCs/>
          <w:noProof/>
        </w:rPr>
        <w:t>padding and extension</w:t>
      </w:r>
    </w:p>
    <w:p w:rsidR="00CA397B" w:rsidRPr="00E13523" w:rsidRDefault="00CA397B" w:rsidP="00CA397B">
      <w:pPr>
        <w:tabs>
          <w:tab w:val="center" w:pos="4800"/>
          <w:tab w:val="right" w:pos="9500"/>
        </w:tabs>
        <w:ind w:firstLine="720"/>
        <w:jc w:val="both"/>
        <w:rPr>
          <w:noProof/>
        </w:rPr>
      </w:pPr>
      <w:r w:rsidRPr="00E13523">
        <w:rPr>
          <w:noProof/>
        </w:rPr>
        <w:t xml:space="preserve">As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can be large,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frequency units can be divided into a number of segments of frequency units, each segment ideally would consist of a fixed/configurable number of frequency units according to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However, depending on BWP configuration, some segments may have a less number of frequency units than others; hence it is necessary to develop a rule to divide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into </w:t>
      </w:r>
      <m:oMath>
        <m:sSub>
          <m:sSubPr>
            <m:ctrlPr>
              <w:rPr>
                <w:rFonts w:ascii="Cambria Math" w:hAnsi="Cambria Math"/>
              </w:rPr>
            </m:ctrlPr>
          </m:sSubPr>
          <m:e>
            <m:r>
              <w:rPr>
                <w:rFonts w:ascii="Cambria Math" w:hAnsi="Cambria Math"/>
                <w:noProof/>
              </w:rPr>
              <m:t>N</m:t>
            </m:r>
          </m:e>
          <m:sub>
            <m:r>
              <w:rPr>
                <w:rFonts w:ascii="Cambria Math" w:hAnsi="Cambria Math"/>
                <w:noProof/>
              </w:rPr>
              <m:t>s</m:t>
            </m:r>
          </m:sub>
        </m:sSub>
      </m:oMath>
      <w:r w:rsidRPr="00E13523">
        <w:rPr>
          <w:noProof/>
        </w:rPr>
        <w:t xml:space="preserve"> segments segment </w:t>
      </w:r>
      <m:oMath>
        <m:r>
          <w:rPr>
            <w:rFonts w:ascii="Cambria Math" w:hAnsi="Cambria Math"/>
            <w:noProof/>
          </w:rPr>
          <m:t>i</m:t>
        </m:r>
      </m:oMath>
      <w:r w:rsidRPr="00E13523">
        <w:rPr>
          <w:noProof/>
        </w:rPr>
        <w:t xml:space="preserve"> with size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proofErr w:type="gramStart"/>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oMath>
      <w:r w:rsidRPr="00E13523">
        <w:rPr>
          <w:noProof/>
        </w:rPr>
        <w:t>.</w:t>
      </w:r>
      <w:proofErr w:type="gramEnd"/>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 One rule could be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non-decreasing with </w:t>
      </w:r>
      <m:oMath>
        <m:r>
          <w:rPr>
            <w:rFonts w:ascii="Cambria Math" w:hAnsi="Cambria Math"/>
            <w:noProof/>
          </w:rPr>
          <m:t>i</m:t>
        </m:r>
      </m:oMath>
      <w:r w:rsidRPr="00E13523">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s</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F</m:t>
                </m:r>
              </m:e>
              <m:sub>
                <m:r>
                  <w:rPr>
                    <w:rFonts w:ascii="Cambria Math" w:hAnsi="Cambria Math"/>
                    <w:noProof/>
                  </w:rPr>
                  <m:t>total</m:t>
                </m:r>
              </m:sub>
            </m:sSub>
          </m:num>
          <m:den>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den>
        </m:f>
        <m:r>
          <w:rPr>
            <w:rFonts w:ascii="Cambria Math" w:hAnsi="Cambria Math"/>
            <w:noProof/>
          </w:rPr>
          <m:t>⌉</m:t>
        </m:r>
      </m:oMath>
      <w:r w:rsidRPr="00E13523">
        <w:rPr>
          <w:noProof/>
        </w:rPr>
        <w:t xml:space="preserve">, so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m:rPr>
                <m:sty m:val="p"/>
              </m:rPr>
              <w:rPr>
                <w:rFonts w:ascii="Cambria Math" w:hAnsi="Cambria Math"/>
                <w:noProof/>
              </w:rPr>
              <m:t>=0</m:t>
            </m:r>
          </m:sub>
          <m:sup>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p>
          <m:e>
            <m:r>
              <m:rPr>
                <m:sty m:val="p"/>
              </m:rPr>
              <w:rPr>
                <w:rFonts w:ascii="Cambria Math" w:hAnsi="Cambria Math"/>
                <w:noProof/>
              </w:rPr>
              <m:t>‍</m:t>
            </m:r>
          </m:e>
        </m:nary>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alternately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can be arranged so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non-increasing with </w:t>
      </w:r>
      <m:oMath>
        <m:r>
          <w:rPr>
            <w:rFonts w:ascii="Cambria Math" w:hAnsi="Cambria Math"/>
            <w:noProof/>
          </w:rPr>
          <m:t>i</m:t>
        </m:r>
      </m:oMath>
      <w:r w:rsidRPr="00E13523">
        <w:rPr>
          <w:noProof/>
        </w:rPr>
        <w:t xml:space="preserv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is allowed to have 2, 3, 5 only as its prime factors to facilitate FFT/IFFT processing. All the allowed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values are included in a set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oMath>
      <w:r w:rsidRPr="00E13523">
        <w:rPr>
          <w:noProof/>
        </w:rPr>
        <w:t xml:space="preserve">. Then 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the least number from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oMath>
      <w:r w:rsidRPr="00E13523">
        <w:rPr>
          <w:noProof/>
        </w:rPr>
        <w:t xml:space="preserve"> which is no smaller than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is chosen, let us assume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is chosen.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lastRenderedPageBreak/>
        <w:t xml:space="preserve">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then a pre-processing step is needed to pad some frequency units to segment </w:t>
      </w:r>
      <m:oMath>
        <m:r>
          <m:rPr>
            <m:sty m:val="p"/>
          </m:rPr>
          <w:rPr>
            <w:rFonts w:ascii="Cambria Math" w:hAnsi="Cambria Math"/>
            <w:noProof/>
          </w:rPr>
          <m:t>0</m:t>
        </m:r>
      </m:oMath>
      <w:r w:rsidRPr="00E13523">
        <w:rPr>
          <w:noProof/>
        </w:rPr>
        <w:t xml:space="preserve">, so the resulted number of frequency units in that segment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 Due to the padding process, precoders corresponding to the padded frequency units should be discarded by the network. Hence the padding process needs to be specified. </w:t>
      </w:r>
      <m:oMath>
        <m:r>
          <w:rPr>
            <w:rFonts w:ascii="Cambria Math" w:hAnsi="Cambria Math"/>
            <w:noProof/>
          </w:rPr>
          <m:t>⌈</m:t>
        </m:r>
        <m:f>
          <m:fPr>
            <m:ctrlPr>
              <w:rPr>
                <w:rFonts w:ascii="Cambria Math" w:hAnsi="Cambria Math"/>
              </w:rPr>
            </m:ctrlPr>
          </m:fPr>
          <m:num>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sSup>
                  <m:sSupPr>
                    <m:ctrlPr>
                      <w:rPr>
                        <w:rFonts w:ascii="Cambria Math" w:hAnsi="Cambria Math"/>
                        <w:noProof/>
                      </w:rPr>
                    </m:ctrlPr>
                  </m:sSupPr>
                  <m:e>
                    <m:r>
                      <w:rPr>
                        <w:rFonts w:ascii="Cambria Math" w:hAnsi="Cambria Math"/>
                        <w:noProof/>
                      </w:rPr>
                      <m:t>N</m:t>
                    </m:r>
                    <m:ctrlPr>
                      <w:rPr>
                        <w:rFonts w:ascii="Cambria Math" w:hAnsi="Cambria Math"/>
                        <w:i/>
                        <w:noProof/>
                      </w:rPr>
                    </m:ctrlPr>
                  </m:e>
                  <m:sup>
                    <m:r>
                      <m:rPr>
                        <m:sty m:val="p"/>
                      </m:rPr>
                      <w:rPr>
                        <w:rFonts w:ascii="Cambria Math" w:hAnsi="Cambria Math"/>
                        <w:noProof/>
                      </w:rPr>
                      <m:t>'</m:t>
                    </m:r>
                  </m:sup>
                </m:sSup>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frequency units ( or </w:t>
      </w:r>
      <m:oMath>
        <m:r>
          <w:rPr>
            <w:rFonts w:ascii="Cambria Math" w:hAnsi="Cambria Math"/>
            <w:noProof/>
          </w:rPr>
          <m:t>⌈</m:t>
        </m:r>
        <m:f>
          <m:fPr>
            <m:ctrlPr>
              <w:rPr>
                <w:rFonts w:ascii="Cambria Math" w:hAnsi="Cambria Math"/>
              </w:rPr>
            </m:ctrlPr>
          </m:fPr>
          <m:num>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 can be padd</w:t>
      </w:r>
      <w:r w:rsidRPr="00E13523">
        <w:rPr>
          <w:noProof/>
        </w:rPr>
        <w:t xml:space="preserve">ed at the beginning and end of the segment to result with a segment with the desired number of frequency units, e.g.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or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For small BWP configurations, such as one with 7 subbands, such a padding process is necessary. For other cases, frequency units in the neighboring segment for the edge segment can be included, for example </w:t>
      </w:r>
      <m:oMath>
        <m:sSubSup>
          <m:sSubSupPr>
            <m:ctrlPr>
              <w:rPr>
                <w:rFonts w:ascii="Cambria Math" w:hAnsi="Cambria Math"/>
                <w:i/>
                <w:noProof/>
              </w:rPr>
            </m:ctrlPr>
          </m:sSubSupPr>
          <m:e>
            <m:r>
              <w:rPr>
                <w:rFonts w:ascii="Cambria Math" w:hAnsi="Cambria Math"/>
                <w:noProof/>
              </w:rPr>
              <m:t>N</m:t>
            </m:r>
          </m:e>
          <m:sub>
            <m:r>
              <m:rPr>
                <m:sty m:val="p"/>
              </m:rPr>
              <w:rPr>
                <w:rFonts w:ascii="Cambria Math" w:hAnsi="Cambria Math"/>
                <w:noProof/>
              </w:rPr>
              <m:t>3</m:t>
            </m:r>
            <m:ctrlPr>
              <w:rPr>
                <w:rFonts w:ascii="Cambria Math" w:hAnsi="Cambria Math"/>
                <w:noProof/>
              </w:rPr>
            </m:ctrlPr>
          </m:sub>
          <m:sup>
            <m: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w:rPr>
            <w:rFonts w:ascii="Cambria Math" w:hAnsi="Cambria Math"/>
          </w:rPr>
          <m:t xml:space="preserve">) </m:t>
        </m:r>
      </m:oMath>
      <w:r w:rsidRPr="00E13523">
        <w:rPr>
          <w:noProof/>
        </w:rPr>
        <w:t xml:space="preserve">frequency units from segment 1 are included to segment 0, so the resulted number of frequency units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for segment 0, in another word overlapping frequency units with two neighboring segments are introduced, we can so a procedure frequency unit extension.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keepNext/>
        <w:tabs>
          <w:tab w:val="center" w:pos="4800"/>
          <w:tab w:val="right" w:pos="9500"/>
        </w:tabs>
        <w:ind w:firstLine="720"/>
        <w:jc w:val="both"/>
      </w:pPr>
      <w:r w:rsidRPr="00E13523">
        <w:rPr>
          <w:noProof/>
          <w:lang w:val="en-US" w:eastAsia="zh-TW"/>
        </w:rPr>
        <w:drawing>
          <wp:inline distT="0" distB="0" distL="0" distR="0" wp14:anchorId="09A44E78" wp14:editId="7F6317DF">
            <wp:extent cx="3923324" cy="3303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33335" cy="3311897"/>
                    </a:xfrm>
                    <a:prstGeom prst="rect">
                      <a:avLst/>
                    </a:prstGeom>
                  </pic:spPr>
                </pic:pic>
              </a:graphicData>
            </a:graphic>
          </wp:inline>
        </w:drawing>
      </w:r>
    </w:p>
    <w:p w:rsidR="00CA397B" w:rsidRPr="00E13523" w:rsidRDefault="00CA397B" w:rsidP="00CA397B">
      <w:pPr>
        <w:pStyle w:val="Caption"/>
        <w:jc w:val="both"/>
        <w:rPr>
          <w:noProof/>
          <w:sz w:val="24"/>
          <w:szCs w:val="24"/>
        </w:rPr>
      </w:pPr>
      <w:r w:rsidRPr="00E13523">
        <w:rPr>
          <w:sz w:val="24"/>
          <w:szCs w:val="24"/>
        </w:rPr>
        <w:t xml:space="preserve">Figure </w:t>
      </w:r>
      <w:r w:rsidRPr="00E13523">
        <w:rPr>
          <w:sz w:val="24"/>
          <w:szCs w:val="24"/>
        </w:rPr>
        <w:fldChar w:fldCharType="begin"/>
      </w:r>
      <w:r w:rsidRPr="00E13523">
        <w:rPr>
          <w:sz w:val="24"/>
          <w:szCs w:val="24"/>
        </w:rPr>
        <w:instrText xml:space="preserve"> SEQ Figure \* ARABIC </w:instrText>
      </w:r>
      <w:r w:rsidRPr="00E13523">
        <w:rPr>
          <w:sz w:val="24"/>
          <w:szCs w:val="24"/>
        </w:rPr>
        <w:fldChar w:fldCharType="separate"/>
      </w:r>
      <w:r w:rsidR="000F0470">
        <w:rPr>
          <w:noProof/>
          <w:sz w:val="24"/>
          <w:szCs w:val="24"/>
        </w:rPr>
        <w:t>1</w:t>
      </w:r>
      <w:r w:rsidRPr="00E13523">
        <w:rPr>
          <w:sz w:val="24"/>
          <w:szCs w:val="24"/>
        </w:rPr>
        <w:fldChar w:fldCharType="end"/>
      </w:r>
      <w:r w:rsidRPr="00E13523">
        <w:rPr>
          <w:sz w:val="24"/>
          <w:szCs w:val="24"/>
        </w:rPr>
        <w:t xml:space="preserve"> Padding frequency units to achieve the desired number of frequency units in a segment</w:t>
      </w:r>
    </w:p>
    <w:p w:rsidR="00194C2F" w:rsidRDefault="00194C2F" w:rsidP="00CA397B">
      <w:pPr>
        <w:tabs>
          <w:tab w:val="center" w:pos="4800"/>
          <w:tab w:val="right" w:pos="9500"/>
        </w:tabs>
        <w:ind w:firstLine="720"/>
        <w:jc w:val="both"/>
        <w:rPr>
          <w:b/>
          <w:noProof/>
        </w:rPr>
      </w:pPr>
    </w:p>
    <w:p w:rsidR="00194C2F" w:rsidRPr="00CA397B" w:rsidRDefault="00194C2F" w:rsidP="00C84AEF">
      <w:pPr>
        <w:pStyle w:val="Heading2"/>
        <w:rPr>
          <w:noProof/>
        </w:rPr>
      </w:pPr>
      <w:bookmarkStart w:id="5" w:name="_Toc1135645"/>
      <w:r>
        <w:rPr>
          <w:noProof/>
        </w:rPr>
        <w:t>FD component selection and coefficient subset selection</w:t>
      </w:r>
      <w:bookmarkEnd w:id="5"/>
    </w:p>
    <w:p w:rsidR="00194C2F" w:rsidRDefault="00194C2F">
      <w:pPr>
        <w:tabs>
          <w:tab w:val="center" w:pos="4800"/>
          <w:tab w:val="right" w:pos="9500"/>
        </w:tabs>
        <w:ind w:firstLine="720"/>
        <w:jc w:val="both"/>
        <w:rPr>
          <w:noProof/>
        </w:rPr>
      </w:pPr>
      <w:r>
        <w:rPr>
          <w:noProof/>
        </w:rPr>
        <w:t xml:space="preserve">As coefficient selection, including FD component selection and coefficient subsect selection is of a central role in overhead reduction, detailed discussions </w:t>
      </w:r>
      <w:r w:rsidR="0052470B">
        <w:rPr>
          <w:noProof/>
        </w:rPr>
        <w:t xml:space="preserve"> FD component selection and coefficient selection </w:t>
      </w:r>
      <w:r>
        <w:rPr>
          <w:noProof/>
        </w:rPr>
        <w:t xml:space="preserve">are </w:t>
      </w:r>
      <w:r w:rsidR="0052470B">
        <w:rPr>
          <w:noProof/>
        </w:rPr>
        <w:t>provided in a companion contribution</w:t>
      </w:r>
      <w:r>
        <w:rPr>
          <w:noProof/>
        </w:rPr>
        <w:t xml:space="preserve"> </w:t>
      </w:r>
      <w:r>
        <w:rPr>
          <w:noProof/>
        </w:rPr>
        <w:fldChar w:fldCharType="begin"/>
      </w:r>
      <w:r>
        <w:rPr>
          <w:noProof/>
        </w:rPr>
        <w:instrText xml:space="preserve"> REF _Ref1134660 \r \h </w:instrText>
      </w:r>
      <w:r>
        <w:rPr>
          <w:noProof/>
        </w:rPr>
      </w:r>
      <w:r>
        <w:rPr>
          <w:noProof/>
        </w:rPr>
        <w:fldChar w:fldCharType="separate"/>
      </w:r>
      <w:r>
        <w:rPr>
          <w:noProof/>
        </w:rPr>
        <w:t>[3]</w:t>
      </w:r>
      <w:r>
        <w:rPr>
          <w:noProof/>
        </w:rPr>
        <w:fldChar w:fldCharType="end"/>
      </w:r>
      <w:r>
        <w:rPr>
          <w:noProof/>
        </w:rPr>
        <w:t>.</w:t>
      </w:r>
    </w:p>
    <w:p w:rsidR="00194C2F" w:rsidRDefault="00194C2F" w:rsidP="00CA397B">
      <w:pPr>
        <w:tabs>
          <w:tab w:val="center" w:pos="4800"/>
          <w:tab w:val="right" w:pos="9500"/>
        </w:tabs>
        <w:ind w:firstLine="720"/>
        <w:jc w:val="both"/>
        <w:rPr>
          <w:noProof/>
        </w:rPr>
      </w:pPr>
      <w:r>
        <w:rPr>
          <w:noProof/>
        </w:rPr>
        <w:t xml:space="preserve">Along with the FD component and coefficient subset selection, the choice of  two parameters, (p, Beta), are very important in achieving overhead reduction and ensuring comparable performance with Rel-15. It is our view if performance loss due to excessive overhead reduction is too much, in general the whole Rel-16 MU-CSI enhancement feature becomes less interesting for practical deployment. We have </w:t>
      </w:r>
    </w:p>
    <w:p w:rsidR="00194C2F" w:rsidRDefault="00194C2F" w:rsidP="00CA397B">
      <w:pPr>
        <w:tabs>
          <w:tab w:val="center" w:pos="4800"/>
          <w:tab w:val="right" w:pos="9500"/>
        </w:tabs>
        <w:ind w:firstLine="720"/>
        <w:jc w:val="both"/>
        <w:rPr>
          <w:b/>
          <w:noProof/>
        </w:rPr>
      </w:pPr>
      <w:r w:rsidRPr="00C84AEF">
        <w:rPr>
          <w:b/>
          <w:noProof/>
        </w:rPr>
        <w:t>Observation 1: parameter sets for (p, Beta) should be chosen so performance degradation compared with Rel-15 can be avoided.</w:t>
      </w:r>
    </w:p>
    <w:p w:rsidR="00BF7FAA" w:rsidRDefault="00BF7FAA" w:rsidP="00CA397B">
      <w:pPr>
        <w:tabs>
          <w:tab w:val="center" w:pos="4800"/>
          <w:tab w:val="right" w:pos="9500"/>
        </w:tabs>
        <w:ind w:firstLine="720"/>
        <w:jc w:val="both"/>
        <w:rPr>
          <w:b/>
          <w:noProof/>
        </w:rPr>
      </w:pPr>
    </w:p>
    <w:p w:rsidR="00BF7FAA" w:rsidRDefault="00BF7FAA" w:rsidP="00CA397B">
      <w:pPr>
        <w:tabs>
          <w:tab w:val="center" w:pos="4800"/>
          <w:tab w:val="right" w:pos="9500"/>
        </w:tabs>
        <w:ind w:firstLine="720"/>
        <w:jc w:val="both"/>
        <w:rPr>
          <w:noProof/>
        </w:rPr>
      </w:pPr>
      <w:r>
        <w:rPr>
          <w:noProof/>
        </w:rPr>
        <w:t xml:space="preserve">From the discussion in </w:t>
      </w:r>
      <w:r>
        <w:rPr>
          <w:noProof/>
        </w:rPr>
        <w:fldChar w:fldCharType="begin"/>
      </w:r>
      <w:r>
        <w:rPr>
          <w:noProof/>
        </w:rPr>
        <w:instrText xml:space="preserve"> REF _Ref1134660 \r \h </w:instrText>
      </w:r>
      <w:r>
        <w:rPr>
          <w:noProof/>
        </w:rPr>
      </w:r>
      <w:r>
        <w:rPr>
          <w:noProof/>
        </w:rPr>
        <w:fldChar w:fldCharType="separate"/>
      </w:r>
      <w:r>
        <w:rPr>
          <w:noProof/>
        </w:rPr>
        <w:t>[3]</w:t>
      </w:r>
      <w:r>
        <w:rPr>
          <w:noProof/>
        </w:rPr>
        <w:fldChar w:fldCharType="end"/>
      </w:r>
      <w:r>
        <w:rPr>
          <w:noProof/>
        </w:rPr>
        <w:t>, we also have</w:t>
      </w:r>
    </w:p>
    <w:p w:rsidR="00BF7FAA" w:rsidRDefault="00BF7FAA" w:rsidP="00CA397B">
      <w:pPr>
        <w:tabs>
          <w:tab w:val="center" w:pos="4800"/>
          <w:tab w:val="right" w:pos="9500"/>
        </w:tabs>
        <w:ind w:firstLine="720"/>
        <w:jc w:val="both"/>
        <w:rPr>
          <w:noProof/>
        </w:rPr>
      </w:pPr>
    </w:p>
    <w:p w:rsidR="00BF7FAA" w:rsidRPr="00C84AEF" w:rsidRDefault="00BF7FAA" w:rsidP="00C84AEF">
      <w:pPr>
        <w:tabs>
          <w:tab w:val="center" w:pos="4800"/>
          <w:tab w:val="right" w:pos="9500"/>
        </w:tabs>
        <w:jc w:val="both"/>
        <w:rPr>
          <w:b/>
          <w:noProof/>
        </w:rPr>
      </w:pPr>
      <w:r w:rsidRPr="003A5F15">
        <w:rPr>
          <w:b/>
          <w:noProof/>
        </w:rPr>
        <w:lastRenderedPageBreak/>
        <w:t>Observation</w:t>
      </w:r>
      <w:r>
        <w:rPr>
          <w:b/>
          <w:noProof/>
        </w:rPr>
        <w:t xml:space="preserve"> 2</w:t>
      </w:r>
      <w:r w:rsidRPr="003A5F15">
        <w:rPr>
          <w:b/>
          <w:noProof/>
        </w:rPr>
        <w:t xml:space="preserve">: </w:t>
      </w:r>
      <w:r>
        <w:rPr>
          <w:b/>
          <w:noProof/>
        </w:rPr>
        <w:t>coefficient selection plays a central role in achieving overhead reduction in Rel-16.</w:t>
      </w:r>
    </w:p>
    <w:p w:rsidR="00BF7FAA" w:rsidRPr="00015B52" w:rsidRDefault="00BF7FAA" w:rsidP="00BF7FAA">
      <w:pPr>
        <w:tabs>
          <w:tab w:val="center" w:pos="4800"/>
          <w:tab w:val="right" w:pos="9500"/>
        </w:tabs>
        <w:jc w:val="both"/>
        <w:rPr>
          <w:b/>
          <w:noProof/>
        </w:rPr>
      </w:pPr>
      <w:r w:rsidRPr="00015B52">
        <w:rPr>
          <w:b/>
          <w:noProof/>
        </w:rPr>
        <w:t xml:space="preserve">Proposal </w:t>
      </w:r>
      <w:r>
        <w:rPr>
          <w:b/>
          <w:noProof/>
        </w:rPr>
        <w:t>1: F</w:t>
      </w:r>
      <w:r w:rsidRPr="00015B52">
        <w:rPr>
          <w:b/>
          <w:noProof/>
        </w:rPr>
        <w:t xml:space="preserve">D component selection </w:t>
      </w:r>
      <w:r>
        <w:rPr>
          <w:b/>
          <w:noProof/>
        </w:rPr>
        <w:t>is common for spatial layers</w:t>
      </w:r>
      <w:r w:rsidRPr="00015B52">
        <w:rPr>
          <w:b/>
          <w:noProof/>
        </w:rPr>
        <w:t>.</w:t>
      </w:r>
    </w:p>
    <w:p w:rsidR="00BF7FAA" w:rsidRPr="00C74A9F" w:rsidRDefault="00BF7FAA" w:rsidP="00BF7FAA">
      <w:pPr>
        <w:tabs>
          <w:tab w:val="center" w:pos="4800"/>
          <w:tab w:val="right" w:pos="9500"/>
        </w:tabs>
        <w:jc w:val="both"/>
        <w:rPr>
          <w:b/>
          <w:noProof/>
          <w:lang w:val="en-US"/>
        </w:rPr>
      </w:pPr>
      <w:r w:rsidRPr="00C74A9F">
        <w:rPr>
          <w:b/>
          <w:szCs w:val="28"/>
        </w:rPr>
        <w:t xml:space="preserve">Proposal </w:t>
      </w:r>
      <w:r>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3" type="#_x0000_t75" style="width:14.25pt;height:21.05pt" o:ole="">
            <v:imagedata r:id="rId16" o:title=""/>
          </v:shape>
          <o:OLEObject Type="Embed" ProgID="Equation.DSMT4" ShapeID="_x0000_i1033" DrawAspect="Content" ObjectID="_1611764114" r:id="rId23"/>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p>
    <w:p w:rsidR="00BF7FAA" w:rsidRDefault="00BF7FAA" w:rsidP="00BF7FAA">
      <w:pPr>
        <w:tabs>
          <w:tab w:val="center" w:pos="4800"/>
          <w:tab w:val="right" w:pos="9500"/>
        </w:tabs>
        <w:rPr>
          <w:b/>
          <w:noProof/>
        </w:rPr>
      </w:pPr>
      <w:r w:rsidRPr="00C74A9F">
        <w:rPr>
          <w:b/>
          <w:noProof/>
        </w:rPr>
        <w:t xml:space="preserve">Proposal </w:t>
      </w:r>
      <w:r>
        <w:rPr>
          <w:b/>
          <w:noProof/>
        </w:rPr>
        <w:t>2-2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BF7FAA" w:rsidRPr="0028764F" w:rsidRDefault="00BF7FAA" w:rsidP="00BF7FAA">
      <w:pPr>
        <w:rPr>
          <w:b/>
          <w:noProof/>
        </w:rPr>
      </w:pPr>
      <w:r w:rsidRPr="0028764F">
        <w:rPr>
          <w:b/>
          <w:noProof/>
        </w:rPr>
        <w:t>Proposal</w:t>
      </w:r>
      <w:r>
        <w:rPr>
          <w:b/>
          <w:noProof/>
        </w:rPr>
        <w:t xml:space="preserve"> 3</w:t>
      </w:r>
      <w:r w:rsidRPr="0028764F">
        <w:rPr>
          <w:b/>
          <w:noProof/>
        </w:rPr>
        <w:t>: coefficient selection is common across spatial layers and polarizations.</w:t>
      </w:r>
    </w:p>
    <w:p w:rsidR="00BF7FAA" w:rsidRPr="00BF7FAA" w:rsidRDefault="00BF7FAA" w:rsidP="00CA397B">
      <w:pPr>
        <w:tabs>
          <w:tab w:val="center" w:pos="4800"/>
          <w:tab w:val="right" w:pos="9500"/>
        </w:tabs>
        <w:ind w:firstLine="720"/>
        <w:jc w:val="both"/>
        <w:rPr>
          <w:noProof/>
        </w:rPr>
      </w:pPr>
    </w:p>
    <w:p w:rsidR="00194C2F" w:rsidRDefault="00194C2F" w:rsidP="00CA397B">
      <w:pPr>
        <w:tabs>
          <w:tab w:val="center" w:pos="4800"/>
          <w:tab w:val="right" w:pos="9500"/>
        </w:tabs>
        <w:ind w:firstLine="720"/>
        <w:jc w:val="both"/>
        <w:rPr>
          <w:noProof/>
        </w:rPr>
      </w:pPr>
    </w:p>
    <w:p w:rsidR="0052470B" w:rsidRDefault="0052470B" w:rsidP="00C84AEF">
      <w:pPr>
        <w:pStyle w:val="Heading2"/>
        <w:rPr>
          <w:noProof/>
        </w:rPr>
      </w:pPr>
      <w:r>
        <w:rPr>
          <w:noProof/>
        </w:rPr>
        <w:t xml:space="preserve"> </w:t>
      </w:r>
      <w:bookmarkStart w:id="6" w:name="_Toc1135646"/>
      <w:r w:rsidR="00194C2F" w:rsidRPr="00BF7FAA">
        <w:rPr>
          <w:noProof/>
        </w:rPr>
        <w:t>Quantization schemes</w:t>
      </w:r>
      <w:bookmarkEnd w:id="6"/>
    </w:p>
    <w:p w:rsidR="00194C2F" w:rsidRDefault="00194C2F" w:rsidP="00CA397B">
      <w:pPr>
        <w:tabs>
          <w:tab w:val="center" w:pos="4800"/>
          <w:tab w:val="right" w:pos="9500"/>
        </w:tabs>
        <w:ind w:firstLine="720"/>
        <w:jc w:val="both"/>
        <w:rPr>
          <w:noProof/>
        </w:rPr>
      </w:pPr>
      <w:r>
        <w:rPr>
          <w:noProof/>
        </w:rPr>
        <w:t>With the same overhead, quantization schemes may demonstrate different performance-overhead tradeoffs. Alt. 1, 2, 3 and  4 were proposed previous meetings. All of them propose some enhancement over Rel-15 quantization design.</w:t>
      </w:r>
    </w:p>
    <w:p w:rsidR="00BF7FAA" w:rsidRDefault="00194C2F" w:rsidP="00CA397B">
      <w:pPr>
        <w:tabs>
          <w:tab w:val="center" w:pos="4800"/>
          <w:tab w:val="right" w:pos="9500"/>
        </w:tabs>
        <w:ind w:firstLine="720"/>
        <w:jc w:val="both"/>
        <w:rPr>
          <w:noProof/>
        </w:rPr>
      </w:pPr>
      <w:r>
        <w:rPr>
          <w:noProof/>
        </w:rPr>
        <w:t xml:space="preserve">We propose our views on some of them in a campanino contribution </w:t>
      </w:r>
      <w:r>
        <w:rPr>
          <w:noProof/>
        </w:rPr>
        <w:fldChar w:fldCharType="begin"/>
      </w:r>
      <w:r>
        <w:rPr>
          <w:noProof/>
        </w:rPr>
        <w:instrText xml:space="preserve"> REF _Ref1135376 \r \h </w:instrText>
      </w:r>
      <w:r>
        <w:rPr>
          <w:noProof/>
        </w:rPr>
      </w:r>
      <w:r>
        <w:rPr>
          <w:noProof/>
        </w:rPr>
        <w:fldChar w:fldCharType="separate"/>
      </w:r>
      <w:r>
        <w:rPr>
          <w:noProof/>
        </w:rPr>
        <w:t>[2]</w:t>
      </w:r>
      <w:r>
        <w:rPr>
          <w:noProof/>
        </w:rPr>
        <w:fldChar w:fldCharType="end"/>
      </w:r>
      <w:r w:rsidR="00BF7FAA">
        <w:rPr>
          <w:noProof/>
        </w:rPr>
        <w:t>, and from there we have:</w:t>
      </w:r>
    </w:p>
    <w:p w:rsidR="00BF7FAA" w:rsidRDefault="00BF7FAA" w:rsidP="00BF7FAA">
      <w:pPr>
        <w:rPr>
          <w:b/>
        </w:rPr>
      </w:pPr>
      <w:r w:rsidRPr="00A20700">
        <w:rPr>
          <w:b/>
        </w:rPr>
        <w:t>Proposal</w:t>
      </w:r>
      <w:r>
        <w:rPr>
          <w:b/>
        </w:rPr>
        <w:t xml:space="preserve"> -4</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194C2F" w:rsidRPr="00194C2F" w:rsidRDefault="00194C2F" w:rsidP="00CA397B">
      <w:pPr>
        <w:tabs>
          <w:tab w:val="center" w:pos="4800"/>
          <w:tab w:val="right" w:pos="9500"/>
        </w:tabs>
        <w:ind w:firstLine="720"/>
        <w:jc w:val="both"/>
        <w:rPr>
          <w:noProof/>
        </w:rPr>
      </w:pPr>
    </w:p>
    <w:p w:rsidR="009E2DD9" w:rsidRDefault="009E2DD9" w:rsidP="009E2DD9">
      <w:pPr>
        <w:pStyle w:val="Heading1"/>
      </w:pPr>
      <w:bookmarkStart w:id="7" w:name="_Toc1135647"/>
      <w:bookmarkStart w:id="8" w:name="_Toc1135648"/>
      <w:bookmarkStart w:id="9" w:name="_Toc1135649"/>
      <w:bookmarkStart w:id="10" w:name="_Toc1135650"/>
      <w:bookmarkStart w:id="11" w:name="_Toc1135651"/>
      <w:bookmarkStart w:id="12" w:name="_Toc1135652"/>
      <w:bookmarkStart w:id="13" w:name="_Toc1135653"/>
      <w:bookmarkStart w:id="14" w:name="_Toc1135654"/>
      <w:bookmarkStart w:id="15" w:name="_Toc1135655"/>
      <w:bookmarkStart w:id="16" w:name="_Toc1135656"/>
      <w:bookmarkStart w:id="17" w:name="_Toc1135657"/>
      <w:bookmarkStart w:id="18" w:name="_Toc1135658"/>
      <w:bookmarkStart w:id="19" w:name="_Toc1135659"/>
      <w:bookmarkStart w:id="20" w:name="_Toc1135660"/>
      <w:bookmarkStart w:id="21" w:name="_Toc1135661"/>
      <w:bookmarkStart w:id="22" w:name="_Toc1135662"/>
      <w:bookmarkStart w:id="23" w:name="_Toc1135663"/>
      <w:bookmarkStart w:id="24" w:name="_Toc1135664"/>
      <w:bookmarkStart w:id="25" w:name="_Toc1135665"/>
      <w:bookmarkStart w:id="26" w:name="_Toc1135666"/>
      <w:bookmarkStart w:id="27" w:name="_Toc1135667"/>
      <w:bookmarkStart w:id="28" w:name="_Toc1130039"/>
      <w:bookmarkStart w:id="29" w:name="_Toc1134383"/>
      <w:bookmarkStart w:id="30" w:name="_Toc1135668"/>
      <w:bookmarkStart w:id="31" w:name="_Toc1130040"/>
      <w:bookmarkStart w:id="32" w:name="_Toc1134384"/>
      <w:bookmarkStart w:id="33" w:name="_Toc1135669"/>
      <w:bookmarkStart w:id="34" w:name="_Toc1130041"/>
      <w:bookmarkStart w:id="35" w:name="_Toc1134385"/>
      <w:bookmarkStart w:id="36" w:name="_Toc1135670"/>
      <w:bookmarkStart w:id="37" w:name="_Toc1130042"/>
      <w:bookmarkStart w:id="38" w:name="_Toc1134386"/>
      <w:bookmarkStart w:id="39" w:name="_Toc1135671"/>
      <w:bookmarkStart w:id="40" w:name="_Toc1130043"/>
      <w:bookmarkStart w:id="41" w:name="_Toc1134387"/>
      <w:bookmarkStart w:id="42" w:name="_Toc1135672"/>
      <w:bookmarkStart w:id="43" w:name="_Toc1130044"/>
      <w:bookmarkStart w:id="44" w:name="_Toc1134388"/>
      <w:bookmarkStart w:id="45" w:name="_Toc1135673"/>
      <w:bookmarkStart w:id="46" w:name="_Toc1130045"/>
      <w:bookmarkStart w:id="47" w:name="_Toc1134389"/>
      <w:bookmarkStart w:id="48" w:name="_Toc1135674"/>
      <w:bookmarkStart w:id="49" w:name="_Toc1130046"/>
      <w:bookmarkStart w:id="50" w:name="_Toc1134390"/>
      <w:bookmarkStart w:id="51" w:name="_Toc1135675"/>
      <w:bookmarkStart w:id="52" w:name="_Toc1130047"/>
      <w:bookmarkStart w:id="53" w:name="_Toc1134391"/>
      <w:bookmarkStart w:id="54" w:name="_Toc1135676"/>
      <w:bookmarkStart w:id="55" w:name="_Toc1130048"/>
      <w:bookmarkStart w:id="56" w:name="_Toc1134392"/>
      <w:bookmarkStart w:id="57" w:name="_Toc1135677"/>
      <w:bookmarkStart w:id="58" w:name="_Toc1130049"/>
      <w:bookmarkStart w:id="59" w:name="_Toc1134393"/>
      <w:bookmarkStart w:id="60" w:name="_Toc1135678"/>
      <w:bookmarkStart w:id="61" w:name="_Toc1130050"/>
      <w:bookmarkStart w:id="62" w:name="_Toc1134394"/>
      <w:bookmarkStart w:id="63" w:name="_Toc1135679"/>
      <w:bookmarkStart w:id="64" w:name="_Toc1130051"/>
      <w:bookmarkStart w:id="65" w:name="_Toc1134395"/>
      <w:bookmarkStart w:id="66" w:name="_Toc1135680"/>
      <w:bookmarkStart w:id="67" w:name="_Toc1130052"/>
      <w:bookmarkStart w:id="68" w:name="_Toc1134396"/>
      <w:bookmarkStart w:id="69" w:name="_Toc1135681"/>
      <w:bookmarkStart w:id="70" w:name="_Toc1130053"/>
      <w:bookmarkStart w:id="71" w:name="_Toc1134397"/>
      <w:bookmarkStart w:id="72" w:name="_Toc1135682"/>
      <w:bookmarkStart w:id="73" w:name="_Toc1130054"/>
      <w:bookmarkStart w:id="74" w:name="_Toc1134398"/>
      <w:bookmarkStart w:id="75" w:name="_Toc1135683"/>
      <w:bookmarkStart w:id="76" w:name="_Toc1130055"/>
      <w:bookmarkStart w:id="77" w:name="_Toc1134399"/>
      <w:bookmarkStart w:id="78" w:name="_Toc1135684"/>
      <w:bookmarkStart w:id="79" w:name="_Toc1130056"/>
      <w:bookmarkStart w:id="80" w:name="_Toc1134400"/>
      <w:bookmarkStart w:id="81" w:name="_Toc1135685"/>
      <w:bookmarkStart w:id="82" w:name="_Toc1130057"/>
      <w:bookmarkStart w:id="83" w:name="_Toc1134401"/>
      <w:bookmarkStart w:id="84" w:name="_Toc1135686"/>
      <w:bookmarkStart w:id="85" w:name="_Toc1130058"/>
      <w:bookmarkStart w:id="86" w:name="_Toc1134402"/>
      <w:bookmarkStart w:id="87" w:name="_Toc1135687"/>
      <w:bookmarkStart w:id="88" w:name="_Toc1130059"/>
      <w:bookmarkStart w:id="89" w:name="_Toc1134403"/>
      <w:bookmarkStart w:id="90" w:name="_Toc1135688"/>
      <w:bookmarkStart w:id="91" w:name="_Toc1130060"/>
      <w:bookmarkStart w:id="92" w:name="_Toc1134404"/>
      <w:bookmarkStart w:id="93" w:name="_Toc1135689"/>
      <w:bookmarkStart w:id="94" w:name="_Toc1130061"/>
      <w:bookmarkStart w:id="95" w:name="_Toc1134405"/>
      <w:bookmarkStart w:id="96" w:name="_Toc1135690"/>
      <w:bookmarkStart w:id="97" w:name="_Toc1130062"/>
      <w:bookmarkStart w:id="98" w:name="_Toc1134406"/>
      <w:bookmarkStart w:id="99" w:name="_Toc1135691"/>
      <w:bookmarkStart w:id="100" w:name="_Toc1130063"/>
      <w:bookmarkStart w:id="101" w:name="_Toc1134407"/>
      <w:bookmarkStart w:id="102" w:name="_Toc1135692"/>
      <w:bookmarkStart w:id="103" w:name="_Toc1130064"/>
      <w:bookmarkStart w:id="104" w:name="_Toc1134408"/>
      <w:bookmarkStart w:id="105" w:name="_Toc1135693"/>
      <w:bookmarkStart w:id="106" w:name="_Toc1130065"/>
      <w:bookmarkStart w:id="107" w:name="_Toc1134409"/>
      <w:bookmarkStart w:id="108" w:name="_Toc1135694"/>
      <w:bookmarkStart w:id="109" w:name="_Toc1130066"/>
      <w:bookmarkStart w:id="110" w:name="_Toc1134410"/>
      <w:bookmarkStart w:id="111" w:name="_Toc1135695"/>
      <w:bookmarkStart w:id="112" w:name="_Toc1130067"/>
      <w:bookmarkStart w:id="113" w:name="_Toc1134411"/>
      <w:bookmarkStart w:id="114" w:name="_Toc1135696"/>
      <w:bookmarkStart w:id="115" w:name="_Toc1130068"/>
      <w:bookmarkStart w:id="116" w:name="_Toc1134412"/>
      <w:bookmarkStart w:id="117" w:name="_Toc1135697"/>
      <w:bookmarkStart w:id="118" w:name="_Toc1130069"/>
      <w:bookmarkStart w:id="119" w:name="_Toc1134413"/>
      <w:bookmarkStart w:id="120" w:name="_Toc1135698"/>
      <w:bookmarkStart w:id="121" w:name="_Toc1130070"/>
      <w:bookmarkStart w:id="122" w:name="_Toc1134414"/>
      <w:bookmarkStart w:id="123" w:name="_Toc1135699"/>
      <w:bookmarkStart w:id="124" w:name="_Toc1130071"/>
      <w:bookmarkStart w:id="125" w:name="_Toc1134415"/>
      <w:bookmarkStart w:id="126" w:name="_Toc1135700"/>
      <w:bookmarkStart w:id="127" w:name="_Toc1130072"/>
      <w:bookmarkStart w:id="128" w:name="_Toc1134416"/>
      <w:bookmarkStart w:id="129" w:name="_Toc1135701"/>
      <w:bookmarkStart w:id="130" w:name="_Toc1130073"/>
      <w:bookmarkStart w:id="131" w:name="_Toc1134417"/>
      <w:bookmarkStart w:id="132" w:name="_Toc1135702"/>
      <w:bookmarkStart w:id="133" w:name="_Toc1130074"/>
      <w:bookmarkStart w:id="134" w:name="_Toc1134418"/>
      <w:bookmarkStart w:id="135" w:name="_Toc1135703"/>
      <w:bookmarkStart w:id="136" w:name="_Toc1130075"/>
      <w:bookmarkStart w:id="137" w:name="_Toc1134419"/>
      <w:bookmarkStart w:id="138" w:name="_Toc1135704"/>
      <w:bookmarkStart w:id="139" w:name="_Toc1130076"/>
      <w:bookmarkStart w:id="140" w:name="_Toc1134420"/>
      <w:bookmarkStart w:id="141" w:name="_Toc1135705"/>
      <w:bookmarkStart w:id="142" w:name="_Toc1130077"/>
      <w:bookmarkStart w:id="143" w:name="_Toc1134421"/>
      <w:bookmarkStart w:id="144" w:name="_Toc1135706"/>
      <w:bookmarkStart w:id="145" w:name="_Toc1130078"/>
      <w:bookmarkStart w:id="146" w:name="_Toc1134422"/>
      <w:bookmarkStart w:id="147" w:name="_Toc1135707"/>
      <w:bookmarkStart w:id="148" w:name="_Toc1130079"/>
      <w:bookmarkStart w:id="149" w:name="_Toc1134423"/>
      <w:bookmarkStart w:id="150" w:name="_Toc1135708"/>
      <w:bookmarkStart w:id="151" w:name="_Toc1130080"/>
      <w:bookmarkStart w:id="152" w:name="_Toc1134424"/>
      <w:bookmarkStart w:id="153" w:name="_Toc1135709"/>
      <w:bookmarkStart w:id="154" w:name="_Toc1130081"/>
      <w:bookmarkStart w:id="155" w:name="_Toc1134425"/>
      <w:bookmarkStart w:id="156" w:name="_Toc1135710"/>
      <w:bookmarkStart w:id="157" w:name="_Toc1130082"/>
      <w:bookmarkStart w:id="158" w:name="_Toc1134426"/>
      <w:bookmarkStart w:id="159" w:name="_Toc1135711"/>
      <w:bookmarkStart w:id="160" w:name="_Toc1130083"/>
      <w:bookmarkStart w:id="161" w:name="_Toc1134427"/>
      <w:bookmarkStart w:id="162" w:name="_Toc1135712"/>
      <w:bookmarkStart w:id="163" w:name="_Toc1130084"/>
      <w:bookmarkStart w:id="164" w:name="_Toc1134428"/>
      <w:bookmarkStart w:id="165" w:name="_Toc1135713"/>
      <w:bookmarkStart w:id="166" w:name="_Toc1130085"/>
      <w:bookmarkStart w:id="167" w:name="_Toc1134429"/>
      <w:bookmarkStart w:id="168" w:name="_Toc1135714"/>
      <w:bookmarkStart w:id="169" w:name="_Toc1130086"/>
      <w:bookmarkStart w:id="170" w:name="_Toc1134430"/>
      <w:bookmarkStart w:id="171" w:name="_Toc1135715"/>
      <w:bookmarkStart w:id="172" w:name="_Toc1130087"/>
      <w:bookmarkStart w:id="173" w:name="_Toc1134431"/>
      <w:bookmarkStart w:id="174" w:name="_Toc1135716"/>
      <w:bookmarkStart w:id="175" w:name="_Toc1130088"/>
      <w:bookmarkStart w:id="176" w:name="_Toc1134432"/>
      <w:bookmarkStart w:id="177" w:name="_Toc1135717"/>
      <w:bookmarkStart w:id="178" w:name="_Toc1130089"/>
      <w:bookmarkStart w:id="179" w:name="_Toc1134433"/>
      <w:bookmarkStart w:id="180" w:name="_Toc1135718"/>
      <w:bookmarkStart w:id="181" w:name="_Toc1130090"/>
      <w:bookmarkStart w:id="182" w:name="_Toc1134434"/>
      <w:bookmarkStart w:id="183" w:name="_Toc1135719"/>
      <w:bookmarkStart w:id="184" w:name="_Toc1130091"/>
      <w:bookmarkStart w:id="185" w:name="_Toc1134435"/>
      <w:bookmarkStart w:id="186" w:name="_Toc1135720"/>
      <w:bookmarkStart w:id="187" w:name="_Toc1130092"/>
      <w:bookmarkStart w:id="188" w:name="_Toc1134436"/>
      <w:bookmarkStart w:id="189" w:name="_Toc1135721"/>
      <w:bookmarkStart w:id="190" w:name="_Toc1130093"/>
      <w:bookmarkStart w:id="191" w:name="_Toc1134437"/>
      <w:bookmarkStart w:id="192" w:name="_Toc1135722"/>
      <w:bookmarkStart w:id="193" w:name="_Toc1130094"/>
      <w:bookmarkStart w:id="194" w:name="_Toc1134438"/>
      <w:bookmarkStart w:id="195" w:name="_Toc1135723"/>
      <w:bookmarkStart w:id="196" w:name="_Toc1130095"/>
      <w:bookmarkStart w:id="197" w:name="_Toc1134439"/>
      <w:bookmarkStart w:id="198" w:name="_Toc1135724"/>
      <w:bookmarkStart w:id="199" w:name="_Toc1130096"/>
      <w:bookmarkStart w:id="200" w:name="_Toc1134440"/>
      <w:bookmarkStart w:id="201" w:name="_Toc1135725"/>
      <w:bookmarkStart w:id="202" w:name="_Toc1130097"/>
      <w:bookmarkStart w:id="203" w:name="_Toc1134441"/>
      <w:bookmarkStart w:id="204" w:name="_Toc1135726"/>
      <w:bookmarkStart w:id="205" w:name="_Toc1130098"/>
      <w:bookmarkStart w:id="206" w:name="_Toc1134442"/>
      <w:bookmarkStart w:id="207" w:name="_Toc1135727"/>
      <w:bookmarkStart w:id="208" w:name="_Toc1130099"/>
      <w:bookmarkStart w:id="209" w:name="_Toc1134443"/>
      <w:bookmarkStart w:id="210" w:name="_Toc1135728"/>
      <w:bookmarkStart w:id="211" w:name="_Toc1130100"/>
      <w:bookmarkStart w:id="212" w:name="_Toc1134444"/>
      <w:bookmarkStart w:id="213" w:name="_Toc1135729"/>
      <w:bookmarkStart w:id="214" w:name="_Toc1130101"/>
      <w:bookmarkStart w:id="215" w:name="_Toc1134445"/>
      <w:bookmarkStart w:id="216" w:name="_Toc1135730"/>
      <w:bookmarkStart w:id="217" w:name="_Toc1130102"/>
      <w:bookmarkStart w:id="218" w:name="_Toc1134446"/>
      <w:bookmarkStart w:id="219" w:name="_Toc1135731"/>
      <w:bookmarkStart w:id="220" w:name="_Toc1130103"/>
      <w:bookmarkStart w:id="221" w:name="_Toc1134447"/>
      <w:bookmarkStart w:id="222" w:name="_Toc1135732"/>
      <w:bookmarkStart w:id="223" w:name="_Toc1130104"/>
      <w:bookmarkStart w:id="224" w:name="_Toc1134448"/>
      <w:bookmarkStart w:id="225" w:name="_Toc1135733"/>
      <w:bookmarkStart w:id="226" w:name="_Toc1130105"/>
      <w:bookmarkStart w:id="227" w:name="_Toc1134449"/>
      <w:bookmarkStart w:id="228" w:name="_Toc1135734"/>
      <w:bookmarkStart w:id="229" w:name="_Toc1130106"/>
      <w:bookmarkStart w:id="230" w:name="_Toc1134450"/>
      <w:bookmarkStart w:id="231" w:name="_Toc1135735"/>
      <w:bookmarkStart w:id="232" w:name="_Toc1130107"/>
      <w:bookmarkStart w:id="233" w:name="_Toc1134451"/>
      <w:bookmarkStart w:id="234" w:name="_Toc1135736"/>
      <w:bookmarkStart w:id="235" w:name="_Toc1130108"/>
      <w:bookmarkStart w:id="236" w:name="_Toc1134452"/>
      <w:bookmarkStart w:id="237" w:name="_Toc1135737"/>
      <w:bookmarkStart w:id="238" w:name="_Toc1130109"/>
      <w:bookmarkStart w:id="239" w:name="_Toc1134453"/>
      <w:bookmarkStart w:id="240" w:name="_Toc1135738"/>
      <w:bookmarkStart w:id="241" w:name="_Toc1130110"/>
      <w:bookmarkStart w:id="242" w:name="_Toc1134454"/>
      <w:bookmarkStart w:id="243" w:name="_Toc1135739"/>
      <w:bookmarkStart w:id="244" w:name="_Toc1130111"/>
      <w:bookmarkStart w:id="245" w:name="_Toc1134455"/>
      <w:bookmarkStart w:id="246" w:name="_Toc1135740"/>
      <w:bookmarkStart w:id="247" w:name="_Toc1130112"/>
      <w:bookmarkStart w:id="248" w:name="_Toc1134456"/>
      <w:bookmarkStart w:id="249" w:name="_Toc1135741"/>
      <w:bookmarkStart w:id="250" w:name="_Toc1130113"/>
      <w:bookmarkStart w:id="251" w:name="_Toc1134457"/>
      <w:bookmarkStart w:id="252" w:name="_Toc1135742"/>
      <w:bookmarkStart w:id="253" w:name="_Toc1130114"/>
      <w:bookmarkStart w:id="254" w:name="_Toc1134458"/>
      <w:bookmarkStart w:id="255" w:name="_Toc1135743"/>
      <w:bookmarkStart w:id="256" w:name="_Toc1130115"/>
      <w:bookmarkStart w:id="257" w:name="_Toc1134459"/>
      <w:bookmarkStart w:id="258" w:name="_Toc1135744"/>
      <w:bookmarkStart w:id="259" w:name="_Toc1130116"/>
      <w:bookmarkStart w:id="260" w:name="_Toc1134460"/>
      <w:bookmarkStart w:id="261" w:name="_Toc1135745"/>
      <w:bookmarkStart w:id="262" w:name="_Toc1129960"/>
      <w:bookmarkStart w:id="263" w:name="_Toc1130117"/>
      <w:bookmarkStart w:id="264" w:name="_Toc1134461"/>
      <w:bookmarkStart w:id="265" w:name="_Toc1135746"/>
      <w:bookmarkStart w:id="266" w:name="_Toc1129961"/>
      <w:bookmarkStart w:id="267" w:name="_Toc1130118"/>
      <w:bookmarkStart w:id="268" w:name="_Toc1134462"/>
      <w:bookmarkStart w:id="269" w:name="_Toc1135747"/>
      <w:bookmarkStart w:id="270" w:name="_Toc1129962"/>
      <w:bookmarkStart w:id="271" w:name="_Toc1130119"/>
      <w:bookmarkStart w:id="272" w:name="_Toc1134463"/>
      <w:bookmarkStart w:id="273" w:name="_Toc1135748"/>
      <w:bookmarkStart w:id="274" w:name="_Toc1129963"/>
      <w:bookmarkStart w:id="275" w:name="_Toc1130120"/>
      <w:bookmarkStart w:id="276" w:name="_Toc1134464"/>
      <w:bookmarkStart w:id="277" w:name="_Toc1135749"/>
      <w:bookmarkStart w:id="278" w:name="_Toc1129964"/>
      <w:bookmarkStart w:id="279" w:name="_Toc1130121"/>
      <w:bookmarkStart w:id="280" w:name="_Toc1134465"/>
      <w:bookmarkStart w:id="281" w:name="_Toc1135750"/>
      <w:bookmarkStart w:id="282" w:name="_Toc1129965"/>
      <w:bookmarkStart w:id="283" w:name="_Toc1130122"/>
      <w:bookmarkStart w:id="284" w:name="_Toc1134466"/>
      <w:bookmarkStart w:id="285" w:name="_Toc1135751"/>
      <w:bookmarkStart w:id="286" w:name="_Toc1129966"/>
      <w:bookmarkStart w:id="287" w:name="_Toc1130123"/>
      <w:bookmarkStart w:id="288" w:name="_Toc1134467"/>
      <w:bookmarkStart w:id="289" w:name="_Toc1135752"/>
      <w:bookmarkStart w:id="290" w:name="_Toc1129967"/>
      <w:bookmarkStart w:id="291" w:name="_Toc1130124"/>
      <w:bookmarkStart w:id="292" w:name="_Toc1134468"/>
      <w:bookmarkStart w:id="293" w:name="_Toc1135753"/>
      <w:bookmarkStart w:id="294" w:name="_Toc1129968"/>
      <w:bookmarkStart w:id="295" w:name="_Toc1130125"/>
      <w:bookmarkStart w:id="296" w:name="_Toc1134469"/>
      <w:bookmarkStart w:id="297" w:name="_Toc1135754"/>
      <w:bookmarkStart w:id="298" w:name="_Toc1129969"/>
      <w:bookmarkStart w:id="299" w:name="_Toc1130126"/>
      <w:bookmarkStart w:id="300" w:name="_Toc1134470"/>
      <w:bookmarkStart w:id="301" w:name="_Toc1135755"/>
      <w:bookmarkStart w:id="302" w:name="_Toc1129970"/>
      <w:bookmarkStart w:id="303" w:name="_Toc1130127"/>
      <w:bookmarkStart w:id="304" w:name="_Toc1134471"/>
      <w:bookmarkStart w:id="305" w:name="_Toc1135756"/>
      <w:bookmarkStart w:id="306" w:name="_Toc1129971"/>
      <w:bookmarkStart w:id="307" w:name="_Toc1130128"/>
      <w:bookmarkStart w:id="308" w:name="_Toc1134472"/>
      <w:bookmarkStart w:id="309" w:name="_Toc1135757"/>
      <w:bookmarkStart w:id="310" w:name="_Toc1129972"/>
      <w:bookmarkStart w:id="311" w:name="_Toc1130129"/>
      <w:bookmarkStart w:id="312" w:name="_Toc1134473"/>
      <w:bookmarkStart w:id="313" w:name="_Toc1135758"/>
      <w:bookmarkStart w:id="314" w:name="_Toc1129973"/>
      <w:bookmarkStart w:id="315" w:name="_Toc1130130"/>
      <w:bookmarkStart w:id="316" w:name="_Toc1134474"/>
      <w:bookmarkStart w:id="317" w:name="_Toc1135759"/>
      <w:bookmarkStart w:id="318" w:name="_Toc1129974"/>
      <w:bookmarkStart w:id="319" w:name="_Toc1130131"/>
      <w:bookmarkStart w:id="320" w:name="_Toc1134475"/>
      <w:bookmarkStart w:id="321" w:name="_Toc1135760"/>
      <w:bookmarkStart w:id="322" w:name="_Toc1129975"/>
      <w:bookmarkStart w:id="323" w:name="_Toc1130132"/>
      <w:bookmarkStart w:id="324" w:name="_Toc1134476"/>
      <w:bookmarkStart w:id="325" w:name="_Toc1135761"/>
      <w:bookmarkStart w:id="326" w:name="_Toc1129976"/>
      <w:bookmarkStart w:id="327" w:name="_Toc1130133"/>
      <w:bookmarkStart w:id="328" w:name="_Toc1134477"/>
      <w:bookmarkStart w:id="329" w:name="_Toc1135762"/>
      <w:bookmarkStart w:id="330" w:name="_Toc1129977"/>
      <w:bookmarkStart w:id="331" w:name="_Toc1130134"/>
      <w:bookmarkStart w:id="332" w:name="_Toc1134478"/>
      <w:bookmarkStart w:id="333" w:name="_Toc1135763"/>
      <w:bookmarkStart w:id="334" w:name="_Toc1129978"/>
      <w:bookmarkStart w:id="335" w:name="_Toc1130135"/>
      <w:bookmarkStart w:id="336" w:name="_Toc1134479"/>
      <w:bookmarkStart w:id="337" w:name="_Toc1135764"/>
      <w:bookmarkStart w:id="338" w:name="_Toc1129979"/>
      <w:bookmarkStart w:id="339" w:name="_Toc1130136"/>
      <w:bookmarkStart w:id="340" w:name="_Toc1134480"/>
      <w:bookmarkStart w:id="341" w:name="_Toc1135765"/>
      <w:bookmarkStart w:id="342" w:name="_Toc1129980"/>
      <w:bookmarkStart w:id="343" w:name="_Toc1130137"/>
      <w:bookmarkStart w:id="344" w:name="_Toc1134481"/>
      <w:bookmarkStart w:id="345" w:name="_Toc1135766"/>
      <w:bookmarkStart w:id="346" w:name="_Toc1129981"/>
      <w:bookmarkStart w:id="347" w:name="_Toc1130138"/>
      <w:bookmarkStart w:id="348" w:name="_Toc1134482"/>
      <w:bookmarkStart w:id="349" w:name="_Toc1135767"/>
      <w:bookmarkStart w:id="350" w:name="_Toc1129982"/>
      <w:bookmarkStart w:id="351" w:name="_Toc1130139"/>
      <w:bookmarkStart w:id="352" w:name="_Toc1134483"/>
      <w:bookmarkStart w:id="353" w:name="_Toc1135768"/>
      <w:bookmarkStart w:id="354" w:name="_Toc1129983"/>
      <w:bookmarkStart w:id="355" w:name="_Toc1130140"/>
      <w:bookmarkStart w:id="356" w:name="_Toc1134484"/>
      <w:bookmarkStart w:id="357" w:name="_Toc1135769"/>
      <w:bookmarkStart w:id="358" w:name="_Toc1129984"/>
      <w:bookmarkStart w:id="359" w:name="_Toc1130141"/>
      <w:bookmarkStart w:id="360" w:name="_Toc1134485"/>
      <w:bookmarkStart w:id="361" w:name="_Toc1135770"/>
      <w:bookmarkStart w:id="362" w:name="_Toc1129985"/>
      <w:bookmarkStart w:id="363" w:name="_Toc1130142"/>
      <w:bookmarkStart w:id="364" w:name="_Toc1134486"/>
      <w:bookmarkStart w:id="365" w:name="_Toc1135771"/>
      <w:bookmarkStart w:id="366" w:name="_Toc1129986"/>
      <w:bookmarkStart w:id="367" w:name="_Toc1130143"/>
      <w:bookmarkStart w:id="368" w:name="_Toc1134487"/>
      <w:bookmarkStart w:id="369" w:name="_Toc1135772"/>
      <w:bookmarkStart w:id="370" w:name="_Toc1129987"/>
      <w:bookmarkStart w:id="371" w:name="_Toc1130144"/>
      <w:bookmarkStart w:id="372" w:name="_Toc1134488"/>
      <w:bookmarkStart w:id="373" w:name="_Toc1135773"/>
      <w:bookmarkStart w:id="374" w:name="_Toc1129988"/>
      <w:bookmarkStart w:id="375" w:name="_Toc1130145"/>
      <w:bookmarkStart w:id="376" w:name="_Toc1134489"/>
      <w:bookmarkStart w:id="377" w:name="_Toc1135774"/>
      <w:bookmarkStart w:id="378" w:name="_Toc1129989"/>
      <w:bookmarkStart w:id="379" w:name="_Toc1130146"/>
      <w:bookmarkStart w:id="380" w:name="_Toc1134490"/>
      <w:bookmarkStart w:id="381" w:name="_Toc1135775"/>
      <w:bookmarkStart w:id="382" w:name="_Toc1129990"/>
      <w:bookmarkStart w:id="383" w:name="_Toc1130147"/>
      <w:bookmarkStart w:id="384" w:name="_Toc1134491"/>
      <w:bookmarkStart w:id="385" w:name="_Toc1135776"/>
      <w:bookmarkStart w:id="386" w:name="_Toc1129991"/>
      <w:bookmarkStart w:id="387" w:name="_Toc1130148"/>
      <w:bookmarkStart w:id="388" w:name="_Toc1134492"/>
      <w:bookmarkStart w:id="389" w:name="_Toc1135777"/>
      <w:bookmarkStart w:id="390" w:name="_Toc1129992"/>
      <w:bookmarkStart w:id="391" w:name="_Toc1130149"/>
      <w:bookmarkStart w:id="392" w:name="_Toc1134493"/>
      <w:bookmarkStart w:id="393" w:name="_Toc1135778"/>
      <w:bookmarkStart w:id="394" w:name="_Toc1129993"/>
      <w:bookmarkStart w:id="395" w:name="_Toc1130150"/>
      <w:bookmarkStart w:id="396" w:name="_Toc1134494"/>
      <w:bookmarkStart w:id="397" w:name="_Toc1135779"/>
      <w:bookmarkStart w:id="398" w:name="_Toc1129994"/>
      <w:bookmarkStart w:id="399" w:name="_Toc1130151"/>
      <w:bookmarkStart w:id="400" w:name="_Toc1134495"/>
      <w:bookmarkStart w:id="401" w:name="_Toc1135780"/>
      <w:bookmarkStart w:id="402" w:name="_Toc1129995"/>
      <w:bookmarkStart w:id="403" w:name="_Toc1130152"/>
      <w:bookmarkStart w:id="404" w:name="_Toc1134496"/>
      <w:bookmarkStart w:id="405" w:name="_Toc1135781"/>
      <w:bookmarkStart w:id="406" w:name="_Toc1129996"/>
      <w:bookmarkStart w:id="407" w:name="_Toc1130153"/>
      <w:bookmarkStart w:id="408" w:name="_Toc1134497"/>
      <w:bookmarkStart w:id="409" w:name="_Toc1135782"/>
      <w:bookmarkStart w:id="410" w:name="_Toc1129997"/>
      <w:bookmarkStart w:id="411" w:name="_Toc1130154"/>
      <w:bookmarkStart w:id="412" w:name="_Toc1134498"/>
      <w:bookmarkStart w:id="413" w:name="_Toc1135783"/>
      <w:bookmarkStart w:id="414" w:name="_Toc1129998"/>
      <w:bookmarkStart w:id="415" w:name="_Toc1130155"/>
      <w:bookmarkStart w:id="416" w:name="_Toc1134499"/>
      <w:bookmarkStart w:id="417" w:name="_Toc1135784"/>
      <w:bookmarkStart w:id="418" w:name="_Toc1129999"/>
      <w:bookmarkStart w:id="419" w:name="_Toc1130156"/>
      <w:bookmarkStart w:id="420" w:name="_Toc1134500"/>
      <w:bookmarkStart w:id="421" w:name="_Toc1135785"/>
      <w:bookmarkStart w:id="422" w:name="_Toc1130000"/>
      <w:bookmarkStart w:id="423" w:name="_Toc1130157"/>
      <w:bookmarkStart w:id="424" w:name="_Toc1134501"/>
      <w:bookmarkStart w:id="425" w:name="_Toc1135786"/>
      <w:bookmarkStart w:id="426" w:name="_Toc1130001"/>
      <w:bookmarkStart w:id="427" w:name="_Toc1130158"/>
      <w:bookmarkStart w:id="428" w:name="_Toc1134502"/>
      <w:bookmarkStart w:id="429" w:name="_Toc1135787"/>
      <w:bookmarkStart w:id="430" w:name="_Toc1130002"/>
      <w:bookmarkStart w:id="431" w:name="_Toc1130159"/>
      <w:bookmarkStart w:id="432" w:name="_Toc1134503"/>
      <w:bookmarkStart w:id="433" w:name="_Toc1135788"/>
      <w:bookmarkStart w:id="434" w:name="_Toc1130003"/>
      <w:bookmarkStart w:id="435" w:name="_Toc1130160"/>
      <w:bookmarkStart w:id="436" w:name="_Toc1134504"/>
      <w:bookmarkStart w:id="437" w:name="_Toc1135789"/>
      <w:bookmarkStart w:id="438" w:name="_Toc1130004"/>
      <w:bookmarkStart w:id="439" w:name="_Toc1130161"/>
      <w:bookmarkStart w:id="440" w:name="_Toc1134505"/>
      <w:bookmarkStart w:id="441" w:name="_Toc1135790"/>
      <w:bookmarkStart w:id="442" w:name="_Toc1130005"/>
      <w:bookmarkStart w:id="443" w:name="_Toc1130162"/>
      <w:bookmarkStart w:id="444" w:name="_Toc1134506"/>
      <w:bookmarkStart w:id="445" w:name="_Toc1135791"/>
      <w:bookmarkStart w:id="446" w:name="_Toc1130006"/>
      <w:bookmarkStart w:id="447" w:name="_Toc1130163"/>
      <w:bookmarkStart w:id="448" w:name="_Toc1134507"/>
      <w:bookmarkStart w:id="449" w:name="_Toc1135792"/>
      <w:bookmarkStart w:id="450" w:name="_Toc1130007"/>
      <w:bookmarkStart w:id="451" w:name="_Toc1130164"/>
      <w:bookmarkStart w:id="452" w:name="_Toc1134508"/>
      <w:bookmarkStart w:id="453" w:name="_Toc1135793"/>
      <w:bookmarkStart w:id="454" w:name="_Toc1130008"/>
      <w:bookmarkStart w:id="455" w:name="_Toc1130165"/>
      <w:bookmarkStart w:id="456" w:name="_Toc1134509"/>
      <w:bookmarkStart w:id="457" w:name="_Toc1135794"/>
      <w:bookmarkStart w:id="458" w:name="_Toc1130009"/>
      <w:bookmarkStart w:id="459" w:name="_Toc1130166"/>
      <w:bookmarkStart w:id="460" w:name="_Toc1134510"/>
      <w:bookmarkStart w:id="461" w:name="_Toc1135795"/>
      <w:bookmarkStart w:id="462" w:name="_Toc1130010"/>
      <w:bookmarkStart w:id="463" w:name="_Toc1130167"/>
      <w:bookmarkStart w:id="464" w:name="_Toc1134511"/>
      <w:bookmarkStart w:id="465" w:name="_Toc1135796"/>
      <w:bookmarkStart w:id="466" w:name="_Toc1130011"/>
      <w:bookmarkStart w:id="467" w:name="_Toc1130168"/>
      <w:bookmarkStart w:id="468" w:name="_Toc1134512"/>
      <w:bookmarkStart w:id="469" w:name="_Toc1135797"/>
      <w:bookmarkStart w:id="470" w:name="_Toc1130012"/>
      <w:bookmarkStart w:id="471" w:name="_Toc1130169"/>
      <w:bookmarkStart w:id="472" w:name="_Toc1134513"/>
      <w:bookmarkStart w:id="473" w:name="_Toc1135798"/>
      <w:bookmarkStart w:id="474" w:name="_Toc1130013"/>
      <w:bookmarkStart w:id="475" w:name="_Toc1130170"/>
      <w:bookmarkStart w:id="476" w:name="_Toc1134514"/>
      <w:bookmarkStart w:id="477" w:name="_Toc1135799"/>
      <w:bookmarkStart w:id="478" w:name="_Toc1130014"/>
      <w:bookmarkStart w:id="479" w:name="_Toc1130171"/>
      <w:bookmarkStart w:id="480" w:name="_Toc1134515"/>
      <w:bookmarkStart w:id="481" w:name="_Toc1135800"/>
      <w:bookmarkStart w:id="482" w:name="_Toc1130015"/>
      <w:bookmarkStart w:id="483" w:name="_Toc1130172"/>
      <w:bookmarkStart w:id="484" w:name="_Toc1134516"/>
      <w:bookmarkStart w:id="485" w:name="_Toc1135801"/>
      <w:bookmarkStart w:id="486" w:name="_Toc1130016"/>
      <w:bookmarkStart w:id="487" w:name="_Toc1130173"/>
      <w:bookmarkStart w:id="488" w:name="_Toc1134517"/>
      <w:bookmarkStart w:id="489" w:name="_Toc1135802"/>
      <w:bookmarkStart w:id="490" w:name="_Toc1130017"/>
      <w:bookmarkStart w:id="491" w:name="_Toc1130174"/>
      <w:bookmarkStart w:id="492" w:name="_Toc1134518"/>
      <w:bookmarkStart w:id="493" w:name="_Toc1135803"/>
      <w:bookmarkStart w:id="494" w:name="_Toc1130018"/>
      <w:bookmarkStart w:id="495" w:name="_Toc1130175"/>
      <w:bookmarkStart w:id="496" w:name="_Toc1134519"/>
      <w:bookmarkStart w:id="497" w:name="_Toc1135804"/>
      <w:bookmarkStart w:id="498" w:name="_Toc1130019"/>
      <w:bookmarkStart w:id="499" w:name="_Toc1130176"/>
      <w:bookmarkStart w:id="500" w:name="_Toc1134520"/>
      <w:bookmarkStart w:id="501" w:name="_Toc1135805"/>
      <w:bookmarkStart w:id="502" w:name="_Toc1130020"/>
      <w:bookmarkStart w:id="503" w:name="_Toc1130177"/>
      <w:bookmarkStart w:id="504" w:name="_Toc1134521"/>
      <w:bookmarkStart w:id="505" w:name="_Toc1135806"/>
      <w:bookmarkStart w:id="506" w:name="_Toc1130021"/>
      <w:bookmarkStart w:id="507" w:name="_Toc1130178"/>
      <w:bookmarkStart w:id="508" w:name="_Toc1134522"/>
      <w:bookmarkStart w:id="509" w:name="_Toc1135807"/>
      <w:bookmarkStart w:id="510" w:name="_Toc1130022"/>
      <w:bookmarkStart w:id="511" w:name="_Toc1130179"/>
      <w:bookmarkStart w:id="512" w:name="_Toc1134523"/>
      <w:bookmarkStart w:id="513" w:name="_Toc1135808"/>
      <w:bookmarkStart w:id="514" w:name="_Toc1130023"/>
      <w:bookmarkStart w:id="515" w:name="_Toc1130180"/>
      <w:bookmarkStart w:id="516" w:name="_Toc1134524"/>
      <w:bookmarkStart w:id="517" w:name="_Toc1135809"/>
      <w:bookmarkStart w:id="518" w:name="_Toc1130024"/>
      <w:bookmarkStart w:id="519" w:name="_Toc1130181"/>
      <w:bookmarkStart w:id="520" w:name="_Toc1134525"/>
      <w:bookmarkStart w:id="521" w:name="_Toc1135810"/>
      <w:bookmarkStart w:id="522" w:name="_Toc1130025"/>
      <w:bookmarkStart w:id="523" w:name="_Toc1130182"/>
      <w:bookmarkStart w:id="524" w:name="_Toc1134526"/>
      <w:bookmarkStart w:id="525" w:name="_Toc1135811"/>
      <w:bookmarkStart w:id="526" w:name="_Toc1130026"/>
      <w:bookmarkStart w:id="527" w:name="_Toc1130183"/>
      <w:bookmarkStart w:id="528" w:name="_Toc1134527"/>
      <w:bookmarkStart w:id="529" w:name="_Toc1135812"/>
      <w:bookmarkStart w:id="530" w:name="_Toc1130027"/>
      <w:bookmarkStart w:id="531" w:name="_Toc1130184"/>
      <w:bookmarkStart w:id="532" w:name="_Toc1134528"/>
      <w:bookmarkStart w:id="533" w:name="_Toc1135813"/>
      <w:bookmarkStart w:id="534" w:name="_Toc1130028"/>
      <w:bookmarkStart w:id="535" w:name="_Toc1130185"/>
      <w:bookmarkStart w:id="536" w:name="_Toc1134529"/>
      <w:bookmarkStart w:id="537" w:name="_Toc1135814"/>
      <w:bookmarkStart w:id="538" w:name="_Toc1130029"/>
      <w:bookmarkStart w:id="539" w:name="_Toc1130186"/>
      <w:bookmarkStart w:id="540" w:name="_Toc1134530"/>
      <w:bookmarkStart w:id="541" w:name="_Toc1135815"/>
      <w:bookmarkStart w:id="542" w:name="_Toc113581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t>Other issues</w:t>
      </w:r>
      <w:bookmarkEnd w:id="542"/>
    </w:p>
    <w:p w:rsidR="009E2DD9" w:rsidRDefault="009E2DD9" w:rsidP="009E2DD9">
      <w:pPr>
        <w:pStyle w:val="Heading2"/>
      </w:pPr>
      <w:bookmarkStart w:id="543" w:name="_Toc1135817"/>
      <w:bookmarkStart w:id="544" w:name="_Toc1135818"/>
      <w:bookmarkEnd w:id="543"/>
      <w:r>
        <w:t xml:space="preserve">PMI </w:t>
      </w:r>
      <w:proofErr w:type="spellStart"/>
      <w:r>
        <w:t>subband</w:t>
      </w:r>
      <w:proofErr w:type="spellEnd"/>
      <w:r>
        <w:t xml:space="preserve"> size (R)</w:t>
      </w:r>
      <w:bookmarkEnd w:id="544"/>
    </w:p>
    <w:p w:rsidR="00C3553C" w:rsidRPr="009E2DD9" w:rsidRDefault="009E2DD9" w:rsidP="00C3553C">
      <w:pPr>
        <w:tabs>
          <w:tab w:val="center" w:pos="4800"/>
          <w:tab w:val="right" w:pos="9500"/>
        </w:tabs>
        <w:jc w:val="both"/>
        <w:rPr>
          <w:noProof/>
        </w:rPr>
      </w:pPr>
      <w:r w:rsidRPr="009E2DD9">
        <w:rPr>
          <w:noProof/>
        </w:rPr>
        <w:t>At RAN1 AH 1901, the following was agreed:</w:t>
      </w:r>
    </w:p>
    <w:p w:rsidR="009E2DD9" w:rsidRPr="00C85103" w:rsidRDefault="009E2DD9" w:rsidP="009E2DD9">
      <w:pPr>
        <w:pStyle w:val="Style1"/>
        <w:spacing w:after="0" w:line="240" w:lineRule="auto"/>
        <w:ind w:firstLine="0"/>
        <w:rPr>
          <w:rFonts w:cs="Times New Roman"/>
          <w:b/>
          <w:highlight w:val="green"/>
          <w:lang w:val="en-US"/>
        </w:rPr>
      </w:pPr>
      <w:r w:rsidRPr="00C85103">
        <w:rPr>
          <w:rFonts w:cs="Times New Roman"/>
          <w:b/>
          <w:highlight w:val="green"/>
          <w:lang w:val="en-US"/>
        </w:rPr>
        <w:t>Agreement</w:t>
      </w:r>
    </w:p>
    <w:p w:rsidR="009E2DD9" w:rsidRPr="00C85103" w:rsidRDefault="009E2DD9" w:rsidP="009E2DD9">
      <w:pPr>
        <w:pStyle w:val="Style1"/>
        <w:spacing w:after="0" w:line="240" w:lineRule="auto"/>
        <w:ind w:firstLine="0"/>
        <w:rPr>
          <w:rFonts w:cs="Times New Roman"/>
          <w:lang w:val="en-US"/>
        </w:rPr>
      </w:pPr>
      <w:r w:rsidRPr="00C85103">
        <w:rPr>
          <w:rFonts w:cs="Times New Roman"/>
          <w:lang w:val="en-US"/>
        </w:rPr>
        <w:t xml:space="preserve">On FD compression unit, agree on Alt1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as the default, along with Alt2.2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 R) as secondary</w:t>
      </w:r>
    </w:p>
    <w:p w:rsidR="009E2DD9" w:rsidRPr="00C85103"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The value of R is fixed to 2</w:t>
      </w:r>
    </w:p>
    <w:p w:rsidR="009E2DD9" w:rsidRPr="00C85103"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FFS: Whether secondary implies a separate UE capability or restricted use cases</w:t>
      </w:r>
    </w:p>
    <w:p w:rsidR="009E2DD9" w:rsidRPr="00C85103" w:rsidRDefault="009E2DD9" w:rsidP="009E2DD9">
      <w:pPr>
        <w:pStyle w:val="Style1"/>
        <w:numPr>
          <w:ilvl w:val="1"/>
          <w:numId w:val="31"/>
        </w:numPr>
        <w:spacing w:after="0" w:line="240" w:lineRule="auto"/>
        <w:ind w:left="1440"/>
        <w:rPr>
          <w:rFonts w:cs="Times New Roman"/>
          <w:lang w:val="en-US"/>
        </w:rPr>
      </w:pPr>
      <w:r w:rsidRPr="00C85103">
        <w:rPr>
          <w:rFonts w:cs="Times New Roman"/>
          <w:lang w:val="en-US"/>
        </w:rPr>
        <w:t>Include issues such as limitation on the number of FD compression units, CPU occupation, latency constraint and/or BW constraint</w:t>
      </w:r>
    </w:p>
    <w:p w:rsidR="009E2DD9"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FFS: Whether FD compression unit is higher-layer configured or reported by the UE</w:t>
      </w:r>
    </w:p>
    <w:p w:rsidR="00B05F52" w:rsidRPr="00C85103" w:rsidRDefault="00B05F52" w:rsidP="00C84AEF">
      <w:pPr>
        <w:pStyle w:val="Style1"/>
        <w:spacing w:after="0" w:line="240" w:lineRule="auto"/>
        <w:ind w:left="720" w:firstLine="0"/>
        <w:rPr>
          <w:rFonts w:cs="Times New Roman"/>
          <w:lang w:val="en-US"/>
        </w:rPr>
      </w:pPr>
    </w:p>
    <w:p w:rsidR="007A733A" w:rsidRPr="000D01A4" w:rsidRDefault="009E2DD9" w:rsidP="00C84AEF">
      <w:pPr>
        <w:tabs>
          <w:tab w:val="center" w:pos="4800"/>
          <w:tab w:val="right" w:pos="9500"/>
        </w:tabs>
        <w:jc w:val="both"/>
        <w:rPr>
          <w:lang w:eastAsia="zh-TW"/>
        </w:rPr>
      </w:pPr>
      <w:r w:rsidRPr="00C84AEF">
        <w:rPr>
          <w:noProof/>
          <w:lang w:val="en-US"/>
        </w:rPr>
        <w:t>When R is signalled by the network, the number of  EVDs (eigen-value decomposition</w:t>
      </w:r>
      <w:r w:rsidR="00B05F52">
        <w:rPr>
          <w:noProof/>
          <w:lang w:val="en-US"/>
        </w:rPr>
        <w:t>s</w:t>
      </w:r>
      <w:r w:rsidRPr="00C84AEF">
        <w:rPr>
          <w:noProof/>
          <w:lang w:val="en-US"/>
        </w:rPr>
        <w:t>) performed by the UE is doubled, which subsantially increases the UE process complexity.  A new UE capability for the support of R=2 should be introduced so if a UE implementation chooses to support R=2, it can be signalled to the network. As the details of Type II overhead reduction have not fully emerged, and very importantly decisions still need to be made concerning rank 3 and rank 4, discussions such as limiting the number of FD compression units, CPU occupation, latency constraint and/or BW constraint should be deferred until we have more clarity on Type II design, including ranks 1-4.</w:t>
      </w:r>
    </w:p>
    <w:p w:rsidR="007A733A" w:rsidRDefault="007A733A" w:rsidP="007A733A">
      <w:pPr>
        <w:pStyle w:val="Heading2"/>
      </w:pPr>
      <w:bookmarkStart w:id="545" w:name="_Toc1135819"/>
      <w:r>
        <w:t xml:space="preserve">Value of </w:t>
      </w:r>
      <w:r w:rsidRPr="00C85103">
        <w:rPr>
          <w:lang w:val="en-US"/>
        </w:rPr>
        <w:t>O</w:t>
      </w:r>
      <w:r w:rsidRPr="00C85103">
        <w:rPr>
          <w:vertAlign w:val="subscript"/>
          <w:lang w:val="en-US"/>
        </w:rPr>
        <w:t>3</w:t>
      </w:r>
      <w:bookmarkEnd w:id="545"/>
    </w:p>
    <w:p w:rsidR="007A733A" w:rsidRPr="009E2DD9" w:rsidRDefault="007A733A" w:rsidP="007A733A">
      <w:pPr>
        <w:tabs>
          <w:tab w:val="center" w:pos="4800"/>
          <w:tab w:val="right" w:pos="9500"/>
        </w:tabs>
        <w:jc w:val="both"/>
        <w:rPr>
          <w:noProof/>
        </w:rPr>
      </w:pPr>
      <w:r w:rsidRPr="009E2DD9">
        <w:rPr>
          <w:noProof/>
        </w:rPr>
        <w:t xml:space="preserve">At RAN1 AH 1901, the following </w:t>
      </w:r>
      <w:r>
        <w:rPr>
          <w:noProof/>
        </w:rPr>
        <w:t>working assumption was taken</w:t>
      </w:r>
      <w:r w:rsidRPr="009E2DD9">
        <w:rPr>
          <w:noProof/>
        </w:rPr>
        <w:t>:</w:t>
      </w:r>
    </w:p>
    <w:p w:rsidR="007A733A" w:rsidRPr="00C85103" w:rsidRDefault="007A733A" w:rsidP="007A733A">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rsidR="007A733A" w:rsidRPr="00C85103" w:rsidRDefault="007A733A" w:rsidP="007A733A">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p>
    <w:p w:rsidR="007A733A" w:rsidRDefault="007A733A" w:rsidP="00C3553C">
      <w:pPr>
        <w:tabs>
          <w:tab w:val="center" w:pos="4800"/>
          <w:tab w:val="right" w:pos="9500"/>
        </w:tabs>
        <w:jc w:val="both"/>
        <w:rPr>
          <w:b/>
          <w:noProof/>
          <w:lang w:val="en-US"/>
        </w:rPr>
      </w:pPr>
    </w:p>
    <w:p w:rsidR="007718EB" w:rsidRDefault="007718EB" w:rsidP="00C3553C">
      <w:pPr>
        <w:tabs>
          <w:tab w:val="center" w:pos="4800"/>
          <w:tab w:val="right" w:pos="9500"/>
        </w:tabs>
        <w:jc w:val="both"/>
        <w:rPr>
          <w:lang w:val="en-US"/>
        </w:rPr>
      </w:pPr>
      <w:r w:rsidRPr="00C84AEF">
        <w:rPr>
          <w:noProof/>
          <w:lang w:val="en-US"/>
        </w:rPr>
        <w:t xml:space="preserve">Introducing </w:t>
      </w:r>
      <w:r w:rsidRPr="00C85103">
        <w:rPr>
          <w:lang w:val="en-US"/>
        </w:rPr>
        <w:t>O</w:t>
      </w:r>
      <w:r w:rsidRPr="00C85103">
        <w:rPr>
          <w:vertAlign w:val="subscript"/>
          <w:lang w:val="en-US"/>
        </w:rPr>
        <w:t>3</w:t>
      </w:r>
      <w:r w:rsidRPr="00C85103">
        <w:rPr>
          <w:lang w:val="en-US"/>
        </w:rPr>
        <w:t xml:space="preserve"> = 4</w:t>
      </w:r>
      <w:r>
        <w:rPr>
          <w:lang w:val="en-US"/>
        </w:rPr>
        <w:t xml:space="preserve"> has the benefit to adjust finely the FD component timing so FD components are better aligned with channel taps with significant power. It can be expected when the channel tap step is small (i.e.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large so the step </w:t>
      </w:r>
      <m:oMath>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small), any possible mis-a</w:t>
      </w:r>
      <w:proofErr w:type="spellStart"/>
      <w:r>
        <w:rPr>
          <w:lang w:val="en-US"/>
        </w:rPr>
        <w:t>lignment</w:t>
      </w:r>
      <w:proofErr w:type="spellEnd"/>
      <w:r>
        <w:rPr>
          <w:lang w:val="en-US"/>
        </w:rPr>
        <w:t xml:space="preserve"> of the selected FD components and channel taps with significant power is also small; the benefit of adjusting the FD components with an even smaller step is diminished. </w:t>
      </w:r>
    </w:p>
    <w:p w:rsidR="007718EB" w:rsidRPr="000D01A4" w:rsidRDefault="007718EB" w:rsidP="007718EB">
      <w:pPr>
        <w:tabs>
          <w:tab w:val="center" w:pos="4800"/>
          <w:tab w:val="right" w:pos="9500"/>
        </w:tabs>
        <w:jc w:val="both"/>
        <w:rPr>
          <w:noProof/>
          <w:lang w:val="en-US"/>
        </w:rPr>
      </w:pPr>
      <w:r>
        <w:rPr>
          <w:lang w:val="en-US"/>
        </w:rPr>
        <w:lastRenderedPageBreak/>
        <w:t xml:space="preserve">Also choosing the suitable timing </w:t>
      </w:r>
      <m:oMath>
        <m:r>
          <w:rPr>
            <w:rFonts w:ascii="Cambria Math" w:hAnsi="Cambria Math"/>
            <w:lang w:val="en-US"/>
          </w:rPr>
          <m:t>d, 0≤d≤</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leads to more UE processing complexity compared with the case </w:t>
      </w:r>
      <w:r w:rsidRPr="00C85103">
        <w:rPr>
          <w:lang w:val="en-US"/>
        </w:rPr>
        <w:t>O</w:t>
      </w:r>
      <w:r w:rsidRPr="00C85103">
        <w:rPr>
          <w:vertAlign w:val="subscript"/>
          <w:lang w:val="en-US"/>
        </w:rPr>
        <w:t>3</w:t>
      </w:r>
      <w:r w:rsidRPr="00C85103">
        <w:rPr>
          <w:lang w:val="en-US"/>
        </w:rPr>
        <w:t xml:space="preserve"> = </w:t>
      </w:r>
      <w:r>
        <w:rPr>
          <w:lang w:val="en-US"/>
        </w:rPr>
        <w:t xml:space="preserve">1. Considering both potential performance gain and UE implementation complexity, if </w:t>
      </w:r>
      <w:r w:rsidRPr="00C85103">
        <w:rPr>
          <w:lang w:val="en-US"/>
        </w:rPr>
        <w:t>O</w:t>
      </w:r>
      <w:r w:rsidRPr="00C85103">
        <w:rPr>
          <w:vertAlign w:val="subscript"/>
          <w:lang w:val="en-US"/>
        </w:rPr>
        <w:t>3</w:t>
      </w:r>
      <w:r w:rsidRPr="00C85103">
        <w:rPr>
          <w:lang w:val="en-US"/>
        </w:rPr>
        <w:t xml:space="preserve"> = 4</w:t>
      </w:r>
      <w:r>
        <w:rPr>
          <w:lang w:val="en-US"/>
        </w:rPr>
        <w:t xml:space="preserve"> is supported, then it can be limited to cases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small. As we have the agreement from Taipei meeting to have differe</w:t>
      </w:r>
      <w:proofErr w:type="spellStart"/>
      <w:r>
        <w:rPr>
          <w:lang w:val="en-US"/>
        </w:rPr>
        <w:t>nt</w:t>
      </w:r>
      <w:proofErr w:type="spellEnd"/>
      <w:r>
        <w:rPr>
          <w:lang w:val="en-US"/>
        </w:rPr>
        <w:t xml:space="preserve"> rules </w:t>
      </w:r>
      <w:proofErr w:type="gramStart"/>
      <w:r>
        <w:rPr>
          <w:lang w:val="en-US"/>
        </w:rPr>
        <w:t xml:space="preserve">concerning </w:t>
      </w:r>
      <m:oMath>
        <m:sSub>
          <m:sSubPr>
            <m:ctrlPr>
              <w:rPr>
                <w:rFonts w:ascii="Cambria Math" w:hAnsi="Cambria Math"/>
                <w:i/>
                <w:lang w:val="en-US"/>
              </w:rPr>
            </m:ctrlPr>
          </m:sSubPr>
          <m:e>
            <w:proofErr w:type="gramEnd"/>
            <m:r>
              <w:rPr>
                <w:rFonts w:ascii="Cambria Math" w:hAnsi="Cambria Math"/>
                <w:lang w:val="en-US"/>
              </w:rPr>
              <m:t>N</m:t>
            </m:r>
          </m:e>
          <m:sub>
            <m:r>
              <w:rPr>
                <w:rFonts w:ascii="Cambria Math" w:hAnsi="Cambria Math"/>
                <w:lang w:val="en-US"/>
              </w:rPr>
              <m:t>3</m:t>
            </m:r>
          </m:sub>
        </m:sSub>
      </m:oMath>
      <w:r w:rsidR="00194C2F">
        <w:rPr>
          <w:lang w:val="en-US"/>
        </w:rPr>
        <w:t xml:space="preserve"> , we can have i</w:t>
      </w:r>
      <w:r>
        <w:rPr>
          <w:lang w:val="en-US"/>
        </w:rPr>
        <w:t xml:space="preserve">f </w:t>
      </w:r>
      <w:r w:rsidRPr="00C85103">
        <w:rPr>
          <w:lang w:val="en-US"/>
        </w:rPr>
        <w:t>O</w:t>
      </w:r>
      <w:r w:rsidRPr="00C85103">
        <w:rPr>
          <w:vertAlign w:val="subscript"/>
          <w:lang w:val="en-US"/>
        </w:rPr>
        <w:t>3</w:t>
      </w:r>
      <w:r w:rsidRPr="00C85103">
        <w:rPr>
          <w:lang w:val="en-US"/>
        </w:rPr>
        <w:t xml:space="preserve"> = 4</w:t>
      </w:r>
      <w:r>
        <w:rPr>
          <w:lang w:val="en-US"/>
        </w:rPr>
        <w:t xml:space="preserve"> is supported, it is supported under the </w:t>
      </w:r>
      <w:r w:rsidR="00B05F52">
        <w:rPr>
          <w:lang w:val="en-US"/>
        </w:rPr>
        <w:t xml:space="preserve">condition </w:t>
      </w:r>
      <m:oMath>
        <m:sSub>
          <m:sSubPr>
            <m:ctrlPr>
              <w:rPr>
                <w:rFonts w:ascii="Cambria Math" w:hAnsi="Cambria Math"/>
                <w:i/>
                <w:lang w:val="en-US"/>
              </w:rPr>
            </m:ctrlPr>
          </m:sSubPr>
          <m:e>
            <m:r>
              <w:rPr>
                <w:rFonts w:ascii="Cambria Math" w:hAnsi="Cambria Math"/>
                <w:lang w:val="en-US"/>
              </w:rPr>
              <m:t xml:space="preserve"> N</m:t>
            </m:r>
          </m:e>
          <m:sub>
            <m:r>
              <w:rPr>
                <w:rFonts w:ascii="Cambria Math" w:hAnsi="Cambria Math"/>
                <w:lang w:val="en-US"/>
              </w:rPr>
              <m:t>sb</m:t>
            </m:r>
          </m:sub>
        </m:sSub>
        <m:r>
          <w:rPr>
            <w:rFonts w:ascii="Cambria Math" w:hAnsi="Cambria Math"/>
            <w:lang w:val="en-US"/>
          </w:rPr>
          <m:t>×R≤13</m:t>
        </m:r>
      </m:oMath>
      <w:r>
        <w:rPr>
          <w:vertAlign w:val="subscript"/>
          <w:lang w:val="en-US"/>
        </w:rPr>
        <w:t xml:space="preserve">; </w:t>
      </w:r>
      <w:r>
        <w:rPr>
          <w:noProof/>
          <w:lang w:val="en-US"/>
        </w:rPr>
        <w:t xml:space="preserve">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oMath>
      <w:r>
        <w:rPr>
          <w:noProof/>
          <w:lang w:val="en-US"/>
        </w:rPr>
        <w:t xml:space="preserve">&gt;13, </w:t>
      </w:r>
      <w:r w:rsidRPr="00C85103">
        <w:rPr>
          <w:lang w:val="en-US"/>
        </w:rPr>
        <w:t>O</w:t>
      </w:r>
      <w:r w:rsidRPr="00C85103">
        <w:rPr>
          <w:vertAlign w:val="subscript"/>
          <w:lang w:val="en-US"/>
        </w:rPr>
        <w:t>3</w:t>
      </w:r>
      <w:r>
        <w:rPr>
          <w:lang w:val="en-US"/>
        </w:rPr>
        <w:t xml:space="preserve"> = 1.</w:t>
      </w:r>
    </w:p>
    <w:p w:rsidR="007F73FE" w:rsidRPr="00E13523" w:rsidRDefault="007F73FE" w:rsidP="00C84AEF">
      <w:pPr>
        <w:tabs>
          <w:tab w:val="center" w:pos="4800"/>
          <w:tab w:val="right" w:pos="9500"/>
        </w:tabs>
        <w:jc w:val="both"/>
        <w:rPr>
          <w:noProof/>
        </w:rPr>
      </w:pPr>
      <w:bookmarkStart w:id="546" w:name="_Toc1125313"/>
      <w:bookmarkStart w:id="547" w:name="_Toc1129888"/>
      <w:bookmarkStart w:id="548" w:name="_Toc1130033"/>
      <w:bookmarkStart w:id="549" w:name="_Toc1130190"/>
      <w:bookmarkStart w:id="550" w:name="_Toc1134534"/>
      <w:bookmarkStart w:id="551" w:name="_Toc1125314"/>
      <w:bookmarkStart w:id="552" w:name="_Toc1129889"/>
      <w:bookmarkStart w:id="553" w:name="_Toc1130034"/>
      <w:bookmarkStart w:id="554" w:name="_Toc1130191"/>
      <w:bookmarkStart w:id="555" w:name="_Toc1134535"/>
      <w:bookmarkEnd w:id="546"/>
      <w:bookmarkEnd w:id="547"/>
      <w:bookmarkEnd w:id="548"/>
      <w:bookmarkEnd w:id="549"/>
      <w:bookmarkEnd w:id="550"/>
      <w:bookmarkEnd w:id="551"/>
      <w:bookmarkEnd w:id="552"/>
      <w:bookmarkEnd w:id="553"/>
      <w:bookmarkEnd w:id="554"/>
      <w:bookmarkEnd w:id="555"/>
    </w:p>
    <w:p w:rsidR="007F73FE" w:rsidRDefault="007F73FE" w:rsidP="007F73FE">
      <w:pPr>
        <w:pStyle w:val="Heading1"/>
      </w:pPr>
      <w:bookmarkStart w:id="556" w:name="_Toc1135820"/>
      <w:r>
        <w:t>Conclusions</w:t>
      </w:r>
      <w:bookmarkEnd w:id="556"/>
    </w:p>
    <w:p w:rsidR="007F73FE" w:rsidRDefault="007F73FE" w:rsidP="003F7E11">
      <w:pPr>
        <w:tabs>
          <w:tab w:val="center" w:pos="4800"/>
          <w:tab w:val="right" w:pos="9500"/>
        </w:tabs>
        <w:jc w:val="both"/>
        <w:rPr>
          <w:noProof/>
        </w:rPr>
      </w:pPr>
      <w:r>
        <w:rPr>
          <w:noProof/>
        </w:rPr>
        <w:t>In this contribution, we provide our views on MU CSI enhancement. We have</w:t>
      </w:r>
    </w:p>
    <w:p w:rsidR="00BF7FAA" w:rsidRPr="00C84AEF" w:rsidRDefault="00BF7FAA" w:rsidP="00C84AEF">
      <w:pPr>
        <w:tabs>
          <w:tab w:val="center" w:pos="4800"/>
          <w:tab w:val="right" w:pos="9500"/>
        </w:tabs>
        <w:jc w:val="both"/>
        <w:rPr>
          <w:b/>
          <w:noProof/>
        </w:rPr>
      </w:pPr>
      <w:r w:rsidRPr="0028764F">
        <w:rPr>
          <w:b/>
          <w:noProof/>
        </w:rPr>
        <w:t>Observation 1: parameter sets for (p, Beta) should be chosen so performance degradation compared with Rel-15 can be avoided.</w:t>
      </w:r>
    </w:p>
    <w:p w:rsidR="00BF7FAA" w:rsidRPr="0028764F" w:rsidRDefault="00BF7FAA" w:rsidP="00BF7FAA">
      <w:pPr>
        <w:tabs>
          <w:tab w:val="center" w:pos="4800"/>
          <w:tab w:val="right" w:pos="9500"/>
        </w:tabs>
        <w:jc w:val="both"/>
        <w:rPr>
          <w:b/>
          <w:noProof/>
        </w:rPr>
      </w:pPr>
      <w:r w:rsidRPr="003A5F15">
        <w:rPr>
          <w:b/>
          <w:noProof/>
        </w:rPr>
        <w:t>Observation</w:t>
      </w:r>
      <w:r>
        <w:rPr>
          <w:b/>
          <w:noProof/>
        </w:rPr>
        <w:t xml:space="preserve"> 2</w:t>
      </w:r>
      <w:r w:rsidRPr="003A5F15">
        <w:rPr>
          <w:b/>
          <w:noProof/>
        </w:rPr>
        <w:t xml:space="preserve">: </w:t>
      </w:r>
      <w:r>
        <w:rPr>
          <w:b/>
          <w:noProof/>
        </w:rPr>
        <w:t>coefficient selection plays a central role in achieving overhead reduction in Rel-16.</w:t>
      </w:r>
    </w:p>
    <w:p w:rsidR="00BF7FAA" w:rsidRPr="00015B52" w:rsidRDefault="00BF7FAA" w:rsidP="00BF7FAA">
      <w:pPr>
        <w:tabs>
          <w:tab w:val="center" w:pos="4800"/>
          <w:tab w:val="right" w:pos="9500"/>
        </w:tabs>
        <w:jc w:val="both"/>
        <w:rPr>
          <w:b/>
          <w:noProof/>
        </w:rPr>
      </w:pPr>
      <w:r w:rsidRPr="00015B52">
        <w:rPr>
          <w:b/>
          <w:noProof/>
        </w:rPr>
        <w:t xml:space="preserve">Proposal </w:t>
      </w:r>
      <w:r>
        <w:rPr>
          <w:b/>
          <w:noProof/>
        </w:rPr>
        <w:t>1: F</w:t>
      </w:r>
      <w:r w:rsidRPr="00015B52">
        <w:rPr>
          <w:b/>
          <w:noProof/>
        </w:rPr>
        <w:t xml:space="preserve">D component selection </w:t>
      </w:r>
      <w:r>
        <w:rPr>
          <w:b/>
          <w:noProof/>
        </w:rPr>
        <w:t>is common for spatial layers</w:t>
      </w:r>
      <w:r w:rsidRPr="00015B52">
        <w:rPr>
          <w:b/>
          <w:noProof/>
        </w:rPr>
        <w:t>.</w:t>
      </w:r>
    </w:p>
    <w:p w:rsidR="00BF7FAA" w:rsidRPr="00C74A9F" w:rsidRDefault="00BF7FAA" w:rsidP="00BF7FAA">
      <w:pPr>
        <w:tabs>
          <w:tab w:val="center" w:pos="4800"/>
          <w:tab w:val="right" w:pos="9500"/>
        </w:tabs>
        <w:jc w:val="both"/>
        <w:rPr>
          <w:b/>
          <w:noProof/>
          <w:lang w:val="en-US"/>
        </w:rPr>
      </w:pPr>
      <w:r w:rsidRPr="00C74A9F">
        <w:rPr>
          <w:b/>
          <w:szCs w:val="28"/>
        </w:rPr>
        <w:t xml:space="preserve">Proposal </w:t>
      </w:r>
      <w:r>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4" type="#_x0000_t75" style="width:14.25pt;height:21.05pt" o:ole="">
            <v:imagedata r:id="rId16" o:title=""/>
          </v:shape>
          <o:OLEObject Type="Embed" ProgID="Equation.DSMT4" ShapeID="_x0000_i1034" DrawAspect="Content" ObjectID="_1611764115" r:id="rId24"/>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p>
    <w:p w:rsidR="00BF7FAA" w:rsidRDefault="00BF7FAA" w:rsidP="00BF7FAA">
      <w:pPr>
        <w:tabs>
          <w:tab w:val="center" w:pos="4800"/>
          <w:tab w:val="right" w:pos="9500"/>
        </w:tabs>
        <w:rPr>
          <w:b/>
          <w:noProof/>
        </w:rPr>
      </w:pPr>
      <w:r w:rsidRPr="00C74A9F">
        <w:rPr>
          <w:b/>
          <w:noProof/>
        </w:rPr>
        <w:t xml:space="preserve">Proposal </w:t>
      </w:r>
      <w:r>
        <w:rPr>
          <w:b/>
          <w:noProof/>
        </w:rPr>
        <w:t>2-2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BF7FAA" w:rsidRPr="0028764F" w:rsidRDefault="00BF7FAA" w:rsidP="00BF7FAA">
      <w:pPr>
        <w:rPr>
          <w:b/>
          <w:noProof/>
        </w:rPr>
      </w:pPr>
      <w:r w:rsidRPr="0028764F">
        <w:rPr>
          <w:b/>
          <w:noProof/>
        </w:rPr>
        <w:t>Proposal</w:t>
      </w:r>
      <w:r>
        <w:rPr>
          <w:b/>
          <w:noProof/>
        </w:rPr>
        <w:t xml:space="preserve"> 3</w:t>
      </w:r>
      <w:r w:rsidRPr="0028764F">
        <w:rPr>
          <w:b/>
          <w:noProof/>
        </w:rPr>
        <w:t>: coefficient selection is common across spatial layers and polarizations.</w:t>
      </w:r>
    </w:p>
    <w:p w:rsidR="00BF7FAA" w:rsidRDefault="00BF7FAA" w:rsidP="00BF7FAA">
      <w:pPr>
        <w:rPr>
          <w:b/>
        </w:rPr>
      </w:pPr>
      <w:r w:rsidRPr="00A20700">
        <w:rPr>
          <w:b/>
        </w:rPr>
        <w:t>Proposal</w:t>
      </w:r>
      <w:r>
        <w:rPr>
          <w:b/>
        </w:rPr>
        <w:t xml:space="preserve"> -4</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7F73FE" w:rsidRDefault="007F73FE" w:rsidP="003F7E11">
      <w:pPr>
        <w:tabs>
          <w:tab w:val="center" w:pos="4800"/>
          <w:tab w:val="right" w:pos="9500"/>
        </w:tabs>
        <w:jc w:val="both"/>
        <w:rPr>
          <w:noProof/>
        </w:rPr>
      </w:pPr>
    </w:p>
    <w:bookmarkEnd w:id="0"/>
    <w:bookmarkEnd w:id="1"/>
    <w:p w:rsidR="0052470B" w:rsidRDefault="0052470B" w:rsidP="0052470B">
      <w:pPr>
        <w:pStyle w:val="BodyText"/>
        <w:rPr>
          <w:sz w:val="28"/>
          <w:szCs w:val="28"/>
        </w:rPr>
      </w:pPr>
    </w:p>
    <w:p w:rsidR="0052470B" w:rsidRPr="00AE0ED7" w:rsidRDefault="0052470B" w:rsidP="0052470B">
      <w:pPr>
        <w:pStyle w:val="Heading1"/>
      </w:pPr>
      <w:bookmarkStart w:id="557" w:name="_Toc414034024"/>
      <w:bookmarkStart w:id="558" w:name="_Toc414034035"/>
      <w:bookmarkStart w:id="559" w:name="_Toc414043597"/>
      <w:bookmarkStart w:id="560" w:name="_Toc414351360"/>
      <w:bookmarkStart w:id="561" w:name="_Toc1135821"/>
      <w:r w:rsidRPr="00AE0ED7">
        <w:t>References</w:t>
      </w:r>
      <w:bookmarkEnd w:id="557"/>
      <w:bookmarkEnd w:id="558"/>
      <w:bookmarkEnd w:id="559"/>
      <w:bookmarkEnd w:id="560"/>
      <w:bookmarkEnd w:id="561"/>
    </w:p>
    <w:p w:rsidR="0052470B" w:rsidRDefault="0052470B" w:rsidP="0052470B">
      <w:pPr>
        <w:pStyle w:val="References"/>
        <w:numPr>
          <w:ilvl w:val="0"/>
          <w:numId w:val="33"/>
        </w:numPr>
        <w:rPr>
          <w:lang w:eastAsia="ja-JP"/>
        </w:rPr>
      </w:pPr>
      <w:bookmarkStart w:id="562" w:name="_Ref1132421"/>
      <w:r>
        <w:rPr>
          <w:rFonts w:hint="eastAsia"/>
          <w:lang w:eastAsia="ja-JP"/>
        </w:rPr>
        <w:t>R1-191286</w:t>
      </w:r>
      <w:r w:rsidRPr="00294C0D">
        <w:rPr>
          <w:rFonts w:hint="eastAsia"/>
          <w:lang w:eastAsia="ja-JP"/>
        </w:rPr>
        <w:tab/>
      </w:r>
      <w:r>
        <w:rPr>
          <w:lang w:eastAsia="ja-JP"/>
        </w:rPr>
        <w:t>CSI enhancement for MU-MIMO, MediaTek, RAN1 AH 201901.</w:t>
      </w:r>
      <w:bookmarkEnd w:id="562"/>
    </w:p>
    <w:p w:rsidR="0052470B" w:rsidRDefault="0052470B" w:rsidP="0052470B">
      <w:pPr>
        <w:pStyle w:val="References"/>
        <w:numPr>
          <w:ilvl w:val="0"/>
          <w:numId w:val="33"/>
        </w:numPr>
        <w:rPr>
          <w:lang w:eastAsia="ja-JP"/>
        </w:rPr>
      </w:pPr>
      <w:bookmarkStart w:id="563" w:name="_Ref1135376"/>
      <w:r>
        <w:rPr>
          <w:rFonts w:hint="eastAsia"/>
          <w:lang w:eastAsia="ja-JP"/>
        </w:rPr>
        <w:t>R1-192199</w:t>
      </w:r>
      <w:r w:rsidRPr="00294C0D">
        <w:rPr>
          <w:rFonts w:hint="eastAsia"/>
          <w:lang w:eastAsia="ja-JP"/>
        </w:rPr>
        <w:tab/>
      </w:r>
      <w:r>
        <w:rPr>
          <w:lang w:eastAsia="ja-JP"/>
        </w:rPr>
        <w:t>Discussion on quantization schemes, MediaTek, RAN1 #96.</w:t>
      </w:r>
      <w:bookmarkEnd w:id="563"/>
    </w:p>
    <w:p w:rsidR="0052470B" w:rsidRDefault="0052470B" w:rsidP="0052470B">
      <w:pPr>
        <w:pStyle w:val="References"/>
        <w:numPr>
          <w:ilvl w:val="0"/>
          <w:numId w:val="33"/>
        </w:numPr>
        <w:rPr>
          <w:lang w:eastAsia="ja-JP"/>
        </w:rPr>
      </w:pPr>
      <w:bookmarkStart w:id="564" w:name="_Ref1134660"/>
      <w:r>
        <w:rPr>
          <w:rFonts w:hint="eastAsia"/>
          <w:lang w:eastAsia="ja-JP"/>
        </w:rPr>
        <w:t>R1-192</w:t>
      </w:r>
      <w:r>
        <w:rPr>
          <w:lang w:eastAsia="ja-JP"/>
        </w:rPr>
        <w:t>200</w:t>
      </w:r>
      <w:r w:rsidRPr="00294C0D">
        <w:rPr>
          <w:rFonts w:hint="eastAsia"/>
          <w:lang w:eastAsia="ja-JP"/>
        </w:rPr>
        <w:tab/>
      </w:r>
      <w:r>
        <w:rPr>
          <w:lang w:eastAsia="ja-JP"/>
        </w:rPr>
        <w:t xml:space="preserve">Discussion on FD component selection and coefficient </w:t>
      </w:r>
      <w:r w:rsidR="00194C2F">
        <w:rPr>
          <w:lang w:eastAsia="ja-JP"/>
        </w:rPr>
        <w:t xml:space="preserve">subset </w:t>
      </w:r>
      <w:r>
        <w:rPr>
          <w:lang w:eastAsia="ja-JP"/>
        </w:rPr>
        <w:t>selection, MediaTek, RAN1 #96.</w:t>
      </w:r>
      <w:bookmarkEnd w:id="564"/>
    </w:p>
    <w:p w:rsidR="0052470B" w:rsidRPr="00BF7FAA"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445DDE" w:rsidRPr="00C84AEF" w:rsidRDefault="00445DDE" w:rsidP="003F7E11">
      <w:pPr>
        <w:tabs>
          <w:tab w:val="center" w:pos="4800"/>
          <w:tab w:val="right" w:pos="9500"/>
        </w:tabs>
        <w:jc w:val="both"/>
        <w:rPr>
          <w:noProof/>
          <w:lang w:val="en-US"/>
        </w:rPr>
      </w:pPr>
    </w:p>
    <w:sectPr w:rsidR="00445DDE" w:rsidRPr="00C84AEF" w:rsidSect="00D0151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CA" w:rsidRDefault="00C32CCA" w:rsidP="00EA7ECC">
      <w:pPr>
        <w:spacing w:after="0"/>
      </w:pPr>
      <w:r>
        <w:separator/>
      </w:r>
    </w:p>
  </w:endnote>
  <w:endnote w:type="continuationSeparator" w:id="0">
    <w:p w:rsidR="00C32CCA" w:rsidRDefault="00C32CCA"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CA" w:rsidRDefault="00C32CCA" w:rsidP="00EA7ECC">
      <w:pPr>
        <w:spacing w:after="0"/>
      </w:pPr>
      <w:r>
        <w:separator/>
      </w:r>
    </w:p>
  </w:footnote>
  <w:footnote w:type="continuationSeparator" w:id="0">
    <w:p w:rsidR="00C32CCA" w:rsidRDefault="00C32CCA"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23"/>
  </w:num>
  <w:num w:numId="4">
    <w:abstractNumId w:val="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5"/>
  </w:num>
  <w:num w:numId="13">
    <w:abstractNumId w:val="19"/>
  </w:num>
  <w:num w:numId="14">
    <w:abstractNumId w:val="22"/>
  </w:num>
  <w:num w:numId="15">
    <w:abstractNumId w:val="27"/>
  </w:num>
  <w:num w:numId="16">
    <w:abstractNumId w:val="26"/>
  </w:num>
  <w:num w:numId="17">
    <w:abstractNumId w:val="21"/>
  </w:num>
  <w:num w:numId="18">
    <w:abstractNumId w:val="24"/>
  </w:num>
  <w:num w:numId="19">
    <w:abstractNumId w:val="15"/>
  </w:num>
  <w:num w:numId="20">
    <w:abstractNumId w:val="29"/>
  </w:num>
  <w:num w:numId="21">
    <w:abstractNumId w:val="1"/>
  </w:num>
  <w:num w:numId="22">
    <w:abstractNumId w:val="6"/>
  </w:num>
  <w:num w:numId="23">
    <w:abstractNumId w:val="16"/>
  </w:num>
  <w:num w:numId="24">
    <w:abstractNumId w:val="13"/>
  </w:num>
  <w:num w:numId="25">
    <w:abstractNumId w:val="4"/>
  </w:num>
  <w:num w:numId="26">
    <w:abstractNumId w:val="20"/>
  </w:num>
  <w:num w:numId="27">
    <w:abstractNumId w:val="9"/>
  </w:num>
  <w:num w:numId="28">
    <w:abstractNumId w:val="7"/>
  </w:num>
  <w:num w:numId="29">
    <w:abstractNumId w:val="2"/>
  </w:num>
  <w:num w:numId="30">
    <w:abstractNumId w:val="28"/>
  </w:num>
  <w:num w:numId="31">
    <w:abstractNumId w:val="14"/>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51C6"/>
    <w:rsid w:val="00015B52"/>
    <w:rsid w:val="000314FD"/>
    <w:rsid w:val="000402CD"/>
    <w:rsid w:val="00061C44"/>
    <w:rsid w:val="000C165F"/>
    <w:rsid w:val="000E35C5"/>
    <w:rsid w:val="000F0470"/>
    <w:rsid w:val="0011553A"/>
    <w:rsid w:val="00161869"/>
    <w:rsid w:val="001938D9"/>
    <w:rsid w:val="00194C2F"/>
    <w:rsid w:val="001A6596"/>
    <w:rsid w:val="001D0D11"/>
    <w:rsid w:val="0020497F"/>
    <w:rsid w:val="002651FC"/>
    <w:rsid w:val="00277CC4"/>
    <w:rsid w:val="0029713B"/>
    <w:rsid w:val="002C5D68"/>
    <w:rsid w:val="002D1FB0"/>
    <w:rsid w:val="002D2C23"/>
    <w:rsid w:val="002E5B3E"/>
    <w:rsid w:val="002F3F7F"/>
    <w:rsid w:val="0030039C"/>
    <w:rsid w:val="003550DF"/>
    <w:rsid w:val="00360BD3"/>
    <w:rsid w:val="00394EB5"/>
    <w:rsid w:val="003A5F15"/>
    <w:rsid w:val="003B6C51"/>
    <w:rsid w:val="003E4A3D"/>
    <w:rsid w:val="003F7E11"/>
    <w:rsid w:val="00403B00"/>
    <w:rsid w:val="004052DB"/>
    <w:rsid w:val="00425A12"/>
    <w:rsid w:val="00445DDE"/>
    <w:rsid w:val="00461E7A"/>
    <w:rsid w:val="00471D4B"/>
    <w:rsid w:val="004B42A1"/>
    <w:rsid w:val="004B501C"/>
    <w:rsid w:val="004B612E"/>
    <w:rsid w:val="004C365C"/>
    <w:rsid w:val="004D75FF"/>
    <w:rsid w:val="004F11FB"/>
    <w:rsid w:val="005037BF"/>
    <w:rsid w:val="00516A28"/>
    <w:rsid w:val="0052470B"/>
    <w:rsid w:val="005420B3"/>
    <w:rsid w:val="00553194"/>
    <w:rsid w:val="005649A0"/>
    <w:rsid w:val="005A6097"/>
    <w:rsid w:val="00656C18"/>
    <w:rsid w:val="00657F00"/>
    <w:rsid w:val="006C1F55"/>
    <w:rsid w:val="006C7305"/>
    <w:rsid w:val="006E0F46"/>
    <w:rsid w:val="00732790"/>
    <w:rsid w:val="00745B67"/>
    <w:rsid w:val="007718EB"/>
    <w:rsid w:val="007A733A"/>
    <w:rsid w:val="007D58F2"/>
    <w:rsid w:val="007F73FE"/>
    <w:rsid w:val="007F7673"/>
    <w:rsid w:val="00824A65"/>
    <w:rsid w:val="00855258"/>
    <w:rsid w:val="008C494F"/>
    <w:rsid w:val="008E1E4D"/>
    <w:rsid w:val="00943F5F"/>
    <w:rsid w:val="0097785A"/>
    <w:rsid w:val="0098143A"/>
    <w:rsid w:val="00983EC0"/>
    <w:rsid w:val="00995F81"/>
    <w:rsid w:val="009A317B"/>
    <w:rsid w:val="009C0D63"/>
    <w:rsid w:val="009D591A"/>
    <w:rsid w:val="009E21EB"/>
    <w:rsid w:val="009E2DD9"/>
    <w:rsid w:val="009F1845"/>
    <w:rsid w:val="009F38D8"/>
    <w:rsid w:val="00A82C11"/>
    <w:rsid w:val="00AA04CF"/>
    <w:rsid w:val="00AB5F2C"/>
    <w:rsid w:val="00AD601D"/>
    <w:rsid w:val="00AF7D62"/>
    <w:rsid w:val="00B05F52"/>
    <w:rsid w:val="00B12384"/>
    <w:rsid w:val="00B3048B"/>
    <w:rsid w:val="00B3078E"/>
    <w:rsid w:val="00B30B4D"/>
    <w:rsid w:val="00B41A31"/>
    <w:rsid w:val="00B53FA4"/>
    <w:rsid w:val="00BA2E60"/>
    <w:rsid w:val="00BC48C0"/>
    <w:rsid w:val="00BE1C6A"/>
    <w:rsid w:val="00BE1F25"/>
    <w:rsid w:val="00BF7FAA"/>
    <w:rsid w:val="00C203D4"/>
    <w:rsid w:val="00C32CCA"/>
    <w:rsid w:val="00C3553C"/>
    <w:rsid w:val="00C37FEE"/>
    <w:rsid w:val="00C5178A"/>
    <w:rsid w:val="00C74A9F"/>
    <w:rsid w:val="00C84AEF"/>
    <w:rsid w:val="00C86401"/>
    <w:rsid w:val="00CA3108"/>
    <w:rsid w:val="00CA397B"/>
    <w:rsid w:val="00CB393E"/>
    <w:rsid w:val="00CB3B65"/>
    <w:rsid w:val="00CD3528"/>
    <w:rsid w:val="00D01516"/>
    <w:rsid w:val="00D021BB"/>
    <w:rsid w:val="00D05E3C"/>
    <w:rsid w:val="00D50A7D"/>
    <w:rsid w:val="00D675D8"/>
    <w:rsid w:val="00D72B42"/>
    <w:rsid w:val="00D756E8"/>
    <w:rsid w:val="00D920B4"/>
    <w:rsid w:val="00DC4E20"/>
    <w:rsid w:val="00DC6811"/>
    <w:rsid w:val="00E10B96"/>
    <w:rsid w:val="00E1377C"/>
    <w:rsid w:val="00EA082A"/>
    <w:rsid w:val="00EA7ECC"/>
    <w:rsid w:val="00ED0ED0"/>
    <w:rsid w:val="00EE2B7B"/>
    <w:rsid w:val="00F30D7A"/>
    <w:rsid w:val="00F358C6"/>
    <w:rsid w:val="00F57D78"/>
    <w:rsid w:val="00F61CBA"/>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paragraph" w:customStyle="1" w:styleId="References">
    <w:name w:val="References"/>
    <w:basedOn w:val="Normal"/>
    <w:next w:val="Normal"/>
    <w:rsid w:val="0052470B"/>
    <w:pPr>
      <w:numPr>
        <w:numId w:val="32"/>
      </w:numPr>
      <w:autoSpaceDE w:val="0"/>
      <w:autoSpaceDN w:val="0"/>
      <w:snapToGrid w:val="0"/>
      <w:spacing w:after="60"/>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SGR1_95\Docs\R1-1813002.zip"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file:///C:\Users\mtk09963\Documents\3GPP_related\RAN1_meetings\TSGR1_95\Docs\R1-1813002.zip" TargetMode="External"/><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k09963\Documents\3GPP_related\RAN1_meetings\TSGR1_95\Docs\R1-1813002.zip" TargetMode="External"/><Relationship Id="rId14" Type="http://schemas.openxmlformats.org/officeDocument/2006/relationships/hyperlink" Target="file:///C:\Users\mtk09963\Documents\3GPP_related\RAN1_meetings\TSGR1_95\Docs\R1-1814201.zip"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5D86E-194F-4854-ADB4-51F825C5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2234</Words>
  <Characters>12737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2019-02-16T01:47:00Z</dcterms:created>
  <dcterms:modified xsi:type="dcterms:W3CDTF">2019-02-16T03:24:00Z</dcterms:modified>
</cp:coreProperties>
</file>